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F042BC" w14:textId="215EF4A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044411">
        <w:t>93</w:t>
      </w:r>
      <w:r w:rsidRPr="00CE0424">
        <w:tab/>
      </w:r>
      <w:r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1904FC">
        <w:rPr>
          <w:sz w:val="32"/>
          <w:szCs w:val="32"/>
        </w:rPr>
        <w:t>06243</w:t>
      </w:r>
    </w:p>
    <w:p w14:paraId="103CDC79" w14:textId="70B1FCBB" w:rsidR="00E90E49" w:rsidRPr="00CE0424" w:rsidRDefault="00044411" w:rsidP="00311702">
      <w:pPr>
        <w:pStyle w:val="3GPPHeader"/>
      </w:pPr>
      <w:r w:rsidRPr="00044411">
        <w:t>Busan, South Korea, May 21-25</w:t>
      </w:r>
      <w:r w:rsidR="00E055C2">
        <w:t>,</w:t>
      </w:r>
      <w:r w:rsidR="00C37CB2" w:rsidRPr="00044411">
        <w:t xml:space="preserve"> </w:t>
      </w:r>
      <w:r w:rsidR="0027144F" w:rsidRPr="00044411">
        <w:t>20</w:t>
      </w:r>
      <w:r w:rsidR="005F3025" w:rsidRPr="00044411">
        <w:t>1</w:t>
      </w:r>
      <w:r w:rsidR="001D53E7" w:rsidRPr="00044411">
        <w:t>8</w:t>
      </w:r>
    </w:p>
    <w:p w14:paraId="09E2CDF3" w14:textId="77777777" w:rsidR="00E90E49" w:rsidRPr="00CE0424" w:rsidRDefault="00E90E49" w:rsidP="00357380">
      <w:pPr>
        <w:pStyle w:val="3GPPHeader"/>
      </w:pPr>
    </w:p>
    <w:p w14:paraId="5D039B66" w14:textId="1D1A5B7F" w:rsidR="00E90E49" w:rsidRPr="00044411" w:rsidRDefault="00E90E49" w:rsidP="00311702">
      <w:pPr>
        <w:pStyle w:val="3GPPHeader"/>
        <w:rPr>
          <w:sz w:val="22"/>
          <w:szCs w:val="22"/>
          <w:lang w:val="en-US"/>
        </w:rPr>
      </w:pPr>
      <w:r w:rsidRPr="00044411">
        <w:rPr>
          <w:sz w:val="22"/>
          <w:szCs w:val="22"/>
          <w:lang w:val="en-US"/>
        </w:rPr>
        <w:t>Agenda Item:</w:t>
      </w:r>
      <w:r w:rsidRPr="00044411">
        <w:rPr>
          <w:sz w:val="22"/>
          <w:szCs w:val="22"/>
          <w:lang w:val="en-US"/>
        </w:rPr>
        <w:tab/>
      </w:r>
      <w:r w:rsidR="00044411" w:rsidRPr="00044411">
        <w:rPr>
          <w:sz w:val="22"/>
          <w:szCs w:val="22"/>
          <w:lang w:val="en-US"/>
        </w:rPr>
        <w:t>7.4.3</w:t>
      </w:r>
    </w:p>
    <w:p w14:paraId="6E6D73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FF0CA1" w14:textId="3E5B0418" w:rsidR="00E90E49" w:rsidRPr="00CE0424" w:rsidRDefault="003D3C45" w:rsidP="00311702">
      <w:pPr>
        <w:pStyle w:val="3GPPHeader"/>
        <w:rPr>
          <w:sz w:val="22"/>
          <w:szCs w:val="22"/>
        </w:rPr>
      </w:pPr>
      <w:r>
        <w:rPr>
          <w:sz w:val="22"/>
          <w:szCs w:val="22"/>
        </w:rPr>
        <w:t>Title:</w:t>
      </w:r>
      <w:r w:rsidR="00E90E49" w:rsidRPr="00CE0424">
        <w:rPr>
          <w:sz w:val="22"/>
          <w:szCs w:val="22"/>
        </w:rPr>
        <w:tab/>
      </w:r>
      <w:r w:rsidR="00044411">
        <w:rPr>
          <w:sz w:val="22"/>
          <w:szCs w:val="22"/>
        </w:rPr>
        <w:t>Procedures related to NoMA</w:t>
      </w:r>
    </w:p>
    <w:p w14:paraId="0E946205" w14:textId="1C12B5C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44411">
        <w:rPr>
          <w:sz w:val="22"/>
          <w:szCs w:val="22"/>
        </w:rPr>
        <w:t>Discussion</w:t>
      </w:r>
    </w:p>
    <w:p w14:paraId="6D811216" w14:textId="77777777" w:rsidR="00E90E49" w:rsidRPr="00CE0424" w:rsidRDefault="00E90E49" w:rsidP="00E90E49"/>
    <w:p w14:paraId="0B9FBFA5" w14:textId="77777777" w:rsidR="00E90E49" w:rsidRPr="00CE0424" w:rsidRDefault="00230D18" w:rsidP="00CE0424">
      <w:pPr>
        <w:pStyle w:val="Heading1"/>
      </w:pPr>
      <w:r>
        <w:t>1</w:t>
      </w:r>
      <w:r>
        <w:tab/>
      </w:r>
      <w:r w:rsidR="00E90E49" w:rsidRPr="00CE0424">
        <w:t>Introduction</w:t>
      </w:r>
    </w:p>
    <w:p w14:paraId="56A32691" w14:textId="4C6A5403" w:rsidR="00970186" w:rsidRDefault="00970186" w:rsidP="00970186">
      <w:pPr>
        <w:pStyle w:val="BodyText"/>
      </w:pPr>
      <w:r>
        <w:t>According to the NoMA SID (</w:t>
      </w:r>
      <w:r w:rsidRPr="00E00EFA">
        <w:t>RP-171043</w:t>
      </w:r>
      <w:r>
        <w:t>), the SI contains the following objective regarding to procedures related to NoMA:</w:t>
      </w:r>
    </w:p>
    <w:p w14:paraId="4C0B68CF" w14:textId="77777777" w:rsidR="00970186" w:rsidRDefault="00970186" w:rsidP="00970186">
      <w:pPr>
        <w:numPr>
          <w:ilvl w:val="0"/>
          <w:numId w:val="23"/>
        </w:numPr>
        <w:spacing w:after="120"/>
        <w:jc w:val="both"/>
        <w:rPr>
          <w:bCs/>
          <w:lang w:eastAsia="zh-CN"/>
        </w:rPr>
      </w:pPr>
      <w:r>
        <w:rPr>
          <w:rFonts w:hint="eastAsia"/>
          <w:bCs/>
          <w:lang w:eastAsia="zh-CN"/>
        </w:rPr>
        <w:t>UL transmission detection</w:t>
      </w:r>
    </w:p>
    <w:p w14:paraId="6CC0A8C2" w14:textId="77777777" w:rsidR="00970186" w:rsidRDefault="00970186" w:rsidP="00970186">
      <w:pPr>
        <w:numPr>
          <w:ilvl w:val="0"/>
          <w:numId w:val="23"/>
        </w:numPr>
        <w:spacing w:after="120"/>
        <w:jc w:val="both"/>
        <w:rPr>
          <w:bCs/>
          <w:lang w:eastAsia="zh-CN"/>
        </w:rPr>
      </w:pPr>
      <w:r w:rsidRPr="00357D25">
        <w:rPr>
          <w:rFonts w:hint="eastAsia"/>
          <w:bCs/>
          <w:lang w:eastAsia="zh-CN"/>
        </w:rPr>
        <w:t>HARQ,</w:t>
      </w:r>
      <w:r>
        <w:rPr>
          <w:rFonts w:hint="eastAsia"/>
          <w:bCs/>
          <w:lang w:eastAsia="zh-CN"/>
        </w:rPr>
        <w:t xml:space="preserve"> including transmission scheme, feedback scheme, and combining scheme</w:t>
      </w:r>
    </w:p>
    <w:p w14:paraId="36171955" w14:textId="77777777" w:rsidR="00970186" w:rsidRDefault="00970186" w:rsidP="00970186">
      <w:pPr>
        <w:numPr>
          <w:ilvl w:val="0"/>
          <w:numId w:val="23"/>
        </w:numPr>
        <w:spacing w:after="120"/>
        <w:jc w:val="both"/>
        <w:rPr>
          <w:bCs/>
          <w:lang w:eastAsia="zh-CN"/>
        </w:rPr>
      </w:pPr>
      <w:r w:rsidRPr="00E51CBD">
        <w:rPr>
          <w:rFonts w:hint="eastAsia"/>
          <w:bCs/>
          <w:lang w:eastAsia="zh-CN"/>
        </w:rPr>
        <w:t>Link adaptation</w:t>
      </w:r>
      <w:r>
        <w:rPr>
          <w:rFonts w:hint="eastAsia"/>
          <w:bCs/>
          <w:lang w:eastAsia="zh-CN"/>
        </w:rPr>
        <w:t xml:space="preserve"> MA signature allocation/selection</w:t>
      </w:r>
    </w:p>
    <w:p w14:paraId="2F339949" w14:textId="77777777" w:rsidR="00970186" w:rsidRDefault="00970186" w:rsidP="00970186">
      <w:pPr>
        <w:numPr>
          <w:ilvl w:val="0"/>
          <w:numId w:val="23"/>
        </w:numPr>
        <w:spacing w:after="120"/>
        <w:jc w:val="both"/>
        <w:rPr>
          <w:bCs/>
          <w:lang w:eastAsia="zh-CN"/>
        </w:rPr>
      </w:pPr>
      <w:r>
        <w:rPr>
          <w:bCs/>
          <w:lang w:eastAsia="zh-CN"/>
        </w:rPr>
        <w:t>Synchronous and asynchronous operation</w:t>
      </w:r>
    </w:p>
    <w:p w14:paraId="698C6354" w14:textId="77777777" w:rsidR="00970186" w:rsidRDefault="00970186" w:rsidP="00970186">
      <w:pPr>
        <w:numPr>
          <w:ilvl w:val="0"/>
          <w:numId w:val="23"/>
        </w:numPr>
        <w:spacing w:after="120"/>
        <w:jc w:val="both"/>
        <w:rPr>
          <w:bCs/>
          <w:lang w:eastAsia="zh-CN"/>
        </w:rPr>
      </w:pPr>
      <w:r>
        <w:rPr>
          <w:bCs/>
          <w:lang w:eastAsia="zh-CN"/>
        </w:rPr>
        <w:t xml:space="preserve">Adaptation between </w:t>
      </w:r>
      <w:r w:rsidRPr="00357D25">
        <w:rPr>
          <w:rFonts w:hint="eastAsia"/>
          <w:bCs/>
          <w:lang w:eastAsia="zh-CN"/>
        </w:rPr>
        <w:t xml:space="preserve">orthogonal </w:t>
      </w:r>
      <w:r>
        <w:rPr>
          <w:bCs/>
          <w:lang w:eastAsia="zh-CN"/>
        </w:rPr>
        <w:t xml:space="preserve">and </w:t>
      </w:r>
      <w:r>
        <w:rPr>
          <w:rFonts w:hint="eastAsia"/>
          <w:bCs/>
          <w:lang w:eastAsia="zh-CN"/>
        </w:rPr>
        <w:t>non-orthogonal multiple access</w:t>
      </w:r>
    </w:p>
    <w:p w14:paraId="49CB773D" w14:textId="77777777" w:rsidR="00970186" w:rsidRDefault="00970186" w:rsidP="00970186">
      <w:pPr>
        <w:pStyle w:val="BodyText"/>
      </w:pPr>
      <w:r w:rsidRPr="009C218E">
        <w:t xml:space="preserve"> </w:t>
      </w:r>
    </w:p>
    <w:p w14:paraId="0A87D4EB" w14:textId="1DAA4451" w:rsidR="00477768" w:rsidRPr="00CE0424" w:rsidRDefault="00970186" w:rsidP="00970186">
      <w:pPr>
        <w:pStyle w:val="BodyText"/>
      </w:pPr>
      <w:r>
        <w:t xml:space="preserve">This contribution discusses high-level considerations related to procedures for NoMA.  </w:t>
      </w:r>
    </w:p>
    <w:p w14:paraId="17FFE2C9" w14:textId="70D75E3C" w:rsidR="004000E8" w:rsidRDefault="00230D18" w:rsidP="00CE0424">
      <w:pPr>
        <w:pStyle w:val="Heading1"/>
      </w:pPr>
      <w:bookmarkStart w:id="0" w:name="_Ref178064866"/>
      <w:r>
        <w:t>2</w:t>
      </w:r>
      <w:r>
        <w:tab/>
      </w:r>
      <w:r w:rsidR="004000E8" w:rsidRPr="00CE0424">
        <w:t>Discussion</w:t>
      </w:r>
      <w:bookmarkEnd w:id="0"/>
    </w:p>
    <w:p w14:paraId="1147231A" w14:textId="7FEC072B" w:rsidR="000666E0" w:rsidRDefault="000666E0" w:rsidP="000666E0">
      <w:pPr>
        <w:pStyle w:val="Heading2"/>
      </w:pPr>
      <w:r>
        <w:t>2.1</w:t>
      </w:r>
      <w:r>
        <w:tab/>
        <w:t>Resource Allocation for NoMA</w:t>
      </w:r>
    </w:p>
    <w:p w14:paraId="23FD4686" w14:textId="77777777" w:rsidR="0034651E" w:rsidRDefault="000666E0" w:rsidP="000666E0">
      <w:pPr>
        <w:pStyle w:val="BodyText"/>
      </w:pPr>
      <w:r>
        <w:t xml:space="preserve">According to the study item description, NoMA can be applied to </w:t>
      </w:r>
      <w:r w:rsidR="0034651E">
        <w:t xml:space="preserve">both dynamically scheduled UEs as well as “grant-free UEs”. The case of grant-free was extensively discussed during Rel-15 NR WI under the name configured grant and the feature includes two types which is either fully RRC configured (type 1) or RRC-configured and DCI-activated (type 2). </w:t>
      </w:r>
    </w:p>
    <w:p w14:paraId="1CDBFBED" w14:textId="6AFF3782" w:rsidR="000666E0" w:rsidRDefault="0034651E" w:rsidP="000666E0">
      <w:pPr>
        <w:pStyle w:val="BodyText"/>
      </w:pPr>
      <w:r>
        <w:t xml:space="preserve">As NoMA is an NR study item, </w:t>
      </w:r>
      <w:r w:rsidR="004744B3">
        <w:t>the</w:t>
      </w:r>
      <w:r>
        <w:t xml:space="preserve"> feature should follow the general design of NR, and therefore </w:t>
      </w:r>
      <w:r w:rsidR="00586960">
        <w:t>should consider</w:t>
      </w:r>
      <w:r w:rsidR="00F52516">
        <w:t xml:space="preserve"> only type 1 and type 2 configured grant </w:t>
      </w:r>
      <w:r w:rsidR="00586960">
        <w:t>in the resource allocation.</w:t>
      </w:r>
    </w:p>
    <w:p w14:paraId="5C0161BF" w14:textId="77777777" w:rsidR="00457780" w:rsidRDefault="00457780" w:rsidP="000666E0">
      <w:pPr>
        <w:pStyle w:val="BodyText"/>
      </w:pPr>
    </w:p>
    <w:p w14:paraId="0B91168F" w14:textId="00A75DE7" w:rsidR="00586960" w:rsidRPr="000D0DC5" w:rsidRDefault="00536DE5" w:rsidP="00586960">
      <w:pPr>
        <w:pStyle w:val="Proposal"/>
      </w:pPr>
      <w:r>
        <w:t>R</w:t>
      </w:r>
      <w:r w:rsidR="00586960">
        <w:t xml:space="preserve">esource allocation in NoMA SI should consider the existing schemes in NR, i.e. scheduling by dynamic grant, and scheduling by configured grant type 1 and type 2 </w:t>
      </w:r>
    </w:p>
    <w:p w14:paraId="32A8FA3A" w14:textId="77777777" w:rsidR="00065FE7" w:rsidRDefault="00065FE7" w:rsidP="000666E0">
      <w:pPr>
        <w:pStyle w:val="BodyText"/>
      </w:pPr>
    </w:p>
    <w:p w14:paraId="63E97073" w14:textId="60E660FB" w:rsidR="00586960" w:rsidRDefault="007F30EB" w:rsidP="000666E0">
      <w:pPr>
        <w:pStyle w:val="BodyText"/>
      </w:pPr>
      <w:r>
        <w:t>In the case of dynamically scheduled UEs, since the scheduling is done based on the scheduling request, there is always UL data for transmission which means that if</w:t>
      </w:r>
      <w:r w:rsidR="00690665">
        <w:t xml:space="preserve"> e.g.</w:t>
      </w:r>
      <w:r>
        <w:t xml:space="preserve"> 6 UEs are scheduled to be transmitted on the same resources, all of them are present. So optimal NoMA sequences for 6 UEs can be designed as used to guarantee the best performance. </w:t>
      </w:r>
      <w:r w:rsidR="0032141E">
        <w:t>However,</w:t>
      </w:r>
      <w:r>
        <w:t xml:space="preserve"> in the case of </w:t>
      </w:r>
      <w:r w:rsidR="0032141E">
        <w:t>configured grant type 1 and type 2, although</w:t>
      </w:r>
      <w:r w:rsidR="0004708D">
        <w:t xml:space="preserve"> e.g.</w:t>
      </w:r>
      <w:r w:rsidR="0032141E">
        <w:t xml:space="preserve"> 6 UEs may be scheduled for the same resources, maybe some of the UEs do not have data to transmit in those resources. For example</w:t>
      </w:r>
      <w:r w:rsidR="00C46109">
        <w:t>,</w:t>
      </w:r>
      <w:r w:rsidR="0032141E">
        <w:t xml:space="preserve"> out of 6 scheduled UEs, maybe only 3 of them have data to transmit and as a result the design for 6 UEs may not be the optimal design.</w:t>
      </w:r>
      <w:r w:rsidR="00457780">
        <w:t xml:space="preserve"> This is a problem that </w:t>
      </w:r>
      <w:proofErr w:type="gramStart"/>
      <w:r w:rsidR="00457780">
        <w:t>has to</w:t>
      </w:r>
      <w:proofErr w:type="gramEnd"/>
      <w:r w:rsidR="00457780">
        <w:t xml:space="preserve"> be addressed in the signature design.</w:t>
      </w:r>
    </w:p>
    <w:p w14:paraId="4ADE736F" w14:textId="5B5EE05C" w:rsidR="00830A60" w:rsidRDefault="00830A60" w:rsidP="000666E0">
      <w:pPr>
        <w:pStyle w:val="BodyText"/>
      </w:pPr>
    </w:p>
    <w:p w14:paraId="406EDA0D" w14:textId="481F41E3" w:rsidR="00830A60" w:rsidRDefault="00830A60" w:rsidP="00830A60">
      <w:pPr>
        <w:pStyle w:val="Heading2"/>
      </w:pPr>
      <w:r>
        <w:t>2.2</w:t>
      </w:r>
      <w:r>
        <w:tab/>
        <w:t xml:space="preserve">Synchronous vs Asynchronous </w:t>
      </w:r>
      <w:r w:rsidR="00ED49D7">
        <w:t>Operation in</w:t>
      </w:r>
      <w:r>
        <w:t xml:space="preserve"> NoMA</w:t>
      </w:r>
    </w:p>
    <w:p w14:paraId="61D213D1" w14:textId="7C537D23" w:rsidR="00830A60" w:rsidRDefault="0081694E" w:rsidP="000666E0">
      <w:pPr>
        <w:pStyle w:val="BodyText"/>
      </w:pPr>
      <w:r>
        <w:t xml:space="preserve">The study item in NoMA </w:t>
      </w:r>
      <w:r w:rsidR="00C46109">
        <w:t xml:space="preserve">describes that the design should target both synchronous and asynchronous cases. </w:t>
      </w:r>
      <w:proofErr w:type="gramStart"/>
      <w:r w:rsidR="00C46109">
        <w:t>It is clear that the</w:t>
      </w:r>
      <w:proofErr w:type="gramEnd"/>
      <w:r w:rsidR="00C46109">
        <w:t xml:space="preserve"> case of synchronous, refers to that the time misalignment between UEs</w:t>
      </w:r>
      <w:r w:rsidR="003D3E33">
        <w:t xml:space="preserve"> should be </w:t>
      </w:r>
      <w:r w:rsidR="00C46109">
        <w:t>within the CP</w:t>
      </w:r>
      <w:r w:rsidR="00A70300">
        <w:t>, where t</w:t>
      </w:r>
      <w:r w:rsidR="00861C9E">
        <w:t xml:space="preserve">his is of course the time </w:t>
      </w:r>
      <w:r w:rsidR="00977245">
        <w:t xml:space="preserve">misalignment </w:t>
      </w:r>
      <w:r w:rsidR="009F2E7A">
        <w:t>between the rece</w:t>
      </w:r>
      <w:r w:rsidR="00861C9E">
        <w:t>ption of the signals from different UEs at the receiver.</w:t>
      </w:r>
    </w:p>
    <w:p w14:paraId="51F1D0FF" w14:textId="77777777" w:rsidR="00A87407" w:rsidRDefault="00C46109" w:rsidP="000666E0">
      <w:pPr>
        <w:pStyle w:val="BodyText"/>
      </w:pPr>
      <w:r>
        <w:t>However</w:t>
      </w:r>
      <w:r w:rsidR="00861C9E">
        <w:t>,</w:t>
      </w:r>
      <w:r>
        <w:t xml:space="preserve"> there is some ambiguity in the term asynchronous, where it is not specified the time misalignments between the UEs</w:t>
      </w:r>
      <w:r w:rsidR="00020752">
        <w:t xml:space="preserve">. </w:t>
      </w:r>
      <w:r w:rsidR="005C3612">
        <w:t xml:space="preserve">Asynchronous operation can mean that </w:t>
      </w:r>
      <w:r w:rsidR="00A87407">
        <w:t>either of the following</w:t>
      </w:r>
    </w:p>
    <w:p w14:paraId="6E967E52" w14:textId="77777777" w:rsidR="00A87407" w:rsidRDefault="00A87407" w:rsidP="00A87407">
      <w:pPr>
        <w:pStyle w:val="BodyText"/>
        <w:numPr>
          <w:ilvl w:val="0"/>
          <w:numId w:val="31"/>
        </w:numPr>
      </w:pPr>
      <w:r>
        <w:t>T</w:t>
      </w:r>
      <w:r w:rsidR="005C3612">
        <w:t>he UEs are not symbol-synchronized where for example OFDM symbol 3 on one UE is sent at the same time as symbol 1 on another UE,</w:t>
      </w:r>
    </w:p>
    <w:p w14:paraId="52743F73" w14:textId="12022946" w:rsidR="00A87407" w:rsidRDefault="005C3612" w:rsidP="00A87407">
      <w:pPr>
        <w:pStyle w:val="BodyText"/>
        <w:numPr>
          <w:ilvl w:val="0"/>
          <w:numId w:val="31"/>
        </w:numPr>
      </w:pPr>
      <w:r>
        <w:t xml:space="preserve">or UEs are </w:t>
      </w:r>
      <w:r w:rsidR="006A4E4E">
        <w:t xml:space="preserve">partially </w:t>
      </w:r>
      <w:r>
        <w:t xml:space="preserve">symbol synchronized, but the misalignment between the two UEs is beyond the CP, </w:t>
      </w:r>
    </w:p>
    <w:p w14:paraId="7E92E94E" w14:textId="2F35EF3D" w:rsidR="00A87407" w:rsidRDefault="005C3612" w:rsidP="00A87407">
      <w:pPr>
        <w:pStyle w:val="BodyText"/>
        <w:numPr>
          <w:ilvl w:val="0"/>
          <w:numId w:val="31"/>
        </w:numPr>
      </w:pPr>
      <w:r>
        <w:t xml:space="preserve">or </w:t>
      </w:r>
      <w:r w:rsidR="006A4E4E">
        <w:t>the UEs are not symbol synchronized</w:t>
      </w:r>
      <w:r w:rsidR="00407EE9">
        <w:t xml:space="preserve"> (symbol 1 and 3 a</w:t>
      </w:r>
      <w:r w:rsidR="00E12581">
        <w:t>re received almost at the same time</w:t>
      </w:r>
      <w:r w:rsidR="00407EE9">
        <w:t>)</w:t>
      </w:r>
      <w:r w:rsidR="006A4E4E">
        <w:t xml:space="preserve"> </w:t>
      </w:r>
      <w:proofErr w:type="gramStart"/>
      <w:r w:rsidR="006A4E4E">
        <w:t>and al</w:t>
      </w:r>
      <w:r w:rsidR="001044AF">
        <w:t>so</w:t>
      </w:r>
      <w:proofErr w:type="gramEnd"/>
      <w:r w:rsidR="001044AF">
        <w:t xml:space="preserve"> the misalignment between the symbols are </w:t>
      </w:r>
      <w:proofErr w:type="spellStart"/>
      <w:r w:rsidR="00E12581">
        <w:t>bayond</w:t>
      </w:r>
      <w:proofErr w:type="spellEnd"/>
      <w:r w:rsidR="001044AF">
        <w:t xml:space="preserve"> the CP</w:t>
      </w:r>
    </w:p>
    <w:p w14:paraId="48C8BDA9" w14:textId="76BEE88F" w:rsidR="00A87407" w:rsidRDefault="008767AB" w:rsidP="000666E0">
      <w:pPr>
        <w:pStyle w:val="BodyText"/>
      </w:pPr>
      <w:bookmarkStart w:id="1" w:name="_GoBack"/>
      <w:r>
        <w:t xml:space="preserve">The design in NR is based on </w:t>
      </w:r>
      <w:r w:rsidR="009751E9">
        <w:t xml:space="preserve">synchronous operation in the UL, where UEs by performing measurements and applying a timing advance </w:t>
      </w:r>
      <w:r w:rsidR="0025613D">
        <w:t>are synchronous within the cyclic prefix. Following the NR design</w:t>
      </w:r>
      <w:r w:rsidR="00E12581">
        <w:t>,</w:t>
      </w:r>
      <w:r w:rsidR="0025613D">
        <w:t xml:space="preserve"> the prime target for N</w:t>
      </w:r>
      <w:r w:rsidR="00730AEC">
        <w:t>oMA</w:t>
      </w:r>
      <w:r w:rsidR="0025613D">
        <w:t xml:space="preserve"> should also be synchronous operation. </w:t>
      </w:r>
      <w:r w:rsidR="00CB2F2C">
        <w:t>However,</w:t>
      </w:r>
      <w:r w:rsidR="0025613D">
        <w:t xml:space="preserve"> if asynchronous operation is to be considere</w:t>
      </w:r>
      <w:r w:rsidR="00B974CE">
        <w:t>d</w:t>
      </w:r>
      <w:r w:rsidR="00A60EE6">
        <w:t xml:space="preserve">, some of the problems that already exist even without NoMA had to be addressed. One main issue with </w:t>
      </w:r>
      <w:r w:rsidR="004B210A">
        <w:t>asynchronous reception</w:t>
      </w:r>
      <w:r w:rsidR="00E34711">
        <w:t xml:space="preserve"> </w:t>
      </w:r>
      <w:r w:rsidR="004B210A">
        <w:t xml:space="preserve">of different UEs </w:t>
      </w:r>
      <w:r w:rsidR="005006B8">
        <w:t>(reception beyond CP)</w:t>
      </w:r>
      <w:r w:rsidR="004B210A">
        <w:t xml:space="preserve"> is that </w:t>
      </w:r>
      <w:r w:rsidR="004749E5">
        <w:t>different</w:t>
      </w:r>
      <w:r w:rsidR="00397804">
        <w:t xml:space="preserve"> FFTs</w:t>
      </w:r>
      <w:r w:rsidR="00E456BF">
        <w:t xml:space="preserve"> should be used at the </w:t>
      </w:r>
      <w:r w:rsidR="006C13BB">
        <w:t>receivers</w:t>
      </w:r>
      <w:r w:rsidR="00E456BF">
        <w:t xml:space="preserve">, which means different receive chains </w:t>
      </w:r>
      <w:proofErr w:type="gramStart"/>
      <w:r w:rsidR="00E456BF">
        <w:t>has to</w:t>
      </w:r>
      <w:proofErr w:type="gramEnd"/>
      <w:r w:rsidR="00E456BF">
        <w:t xml:space="preserve"> be used.</w:t>
      </w:r>
      <w:r w:rsidR="00711D81">
        <w:t xml:space="preserve"> </w:t>
      </w:r>
    </w:p>
    <w:bookmarkEnd w:id="1"/>
    <w:p w14:paraId="77A1BAF2" w14:textId="77777777" w:rsidR="00457780" w:rsidRDefault="00457780" w:rsidP="000666E0">
      <w:pPr>
        <w:pStyle w:val="BodyText"/>
      </w:pPr>
    </w:p>
    <w:p w14:paraId="49D99078" w14:textId="4FCF1001" w:rsidR="00AF79BB" w:rsidRPr="00F5449F" w:rsidRDefault="0097231C" w:rsidP="00F5449F">
      <w:pPr>
        <w:pStyle w:val="Proposal"/>
      </w:pPr>
      <w:r w:rsidRPr="00F5449F">
        <w:t xml:space="preserve">NoMA SI should </w:t>
      </w:r>
      <w:r w:rsidR="00711D81" w:rsidRPr="00F5449F">
        <w:t>primarily c</w:t>
      </w:r>
      <w:r w:rsidRPr="00F5449F">
        <w:t xml:space="preserve">onsider </w:t>
      </w:r>
      <w:r w:rsidR="00F006CD" w:rsidRPr="00F5449F">
        <w:t>synchronous transmission</w:t>
      </w:r>
      <w:r w:rsidR="000F4C4E" w:rsidRPr="00F5449F">
        <w:t xml:space="preserve"> </w:t>
      </w:r>
      <w:r w:rsidR="00711D81" w:rsidRPr="00F5449F">
        <w:t xml:space="preserve">within </w:t>
      </w:r>
      <w:r w:rsidR="006C13BB" w:rsidRPr="00F5449F">
        <w:t>the</w:t>
      </w:r>
      <w:r w:rsidR="000F4C4E" w:rsidRPr="00F5449F">
        <w:t xml:space="preserve"> CP</w:t>
      </w:r>
      <w:r w:rsidR="00296A51" w:rsidRPr="00F5449F">
        <w:t>.</w:t>
      </w:r>
      <w:r w:rsidR="00B874FF" w:rsidRPr="00F5449F">
        <w:t xml:space="preserve"> In a next step the implications of the asynchronous transmission should be </w:t>
      </w:r>
      <w:r w:rsidR="00BF3826" w:rsidRPr="00F5449F">
        <w:t xml:space="preserve">studied, </w:t>
      </w:r>
      <w:proofErr w:type="gramStart"/>
      <w:r w:rsidR="001C59C1" w:rsidRPr="00F5449F">
        <w:t>in order to</w:t>
      </w:r>
      <w:proofErr w:type="gramEnd"/>
      <w:r w:rsidR="001C59C1" w:rsidRPr="00F5449F">
        <w:t xml:space="preserve"> decide whether the design should address asynchronous case.</w:t>
      </w:r>
    </w:p>
    <w:p w14:paraId="397979A4" w14:textId="030BC062" w:rsidR="00C46109" w:rsidRPr="000666E0" w:rsidRDefault="00C46109" w:rsidP="00F5449F">
      <w:pPr>
        <w:pStyle w:val="BodyText"/>
      </w:pPr>
    </w:p>
    <w:p w14:paraId="4EAC0153" w14:textId="5BAB9BC8" w:rsidR="00F63950" w:rsidRDefault="00230D18" w:rsidP="00F63950">
      <w:pPr>
        <w:pStyle w:val="Heading2"/>
      </w:pPr>
      <w:r>
        <w:t>2.</w:t>
      </w:r>
      <w:r w:rsidR="00C46109">
        <w:t>3</w:t>
      </w:r>
      <w:r>
        <w:tab/>
      </w:r>
      <w:r w:rsidR="00970186">
        <w:t>Channel Estimation</w:t>
      </w:r>
    </w:p>
    <w:p w14:paraId="78505D31" w14:textId="77777777" w:rsidR="00970186" w:rsidRDefault="00970186" w:rsidP="00970186">
      <w:pPr>
        <w:pStyle w:val="BodyText"/>
      </w:pPr>
      <w:r>
        <w:t xml:space="preserve">In orthogonal multiple access, the DMRS of different UEs are not overlapping and there is no pilot contamination. In fact, one </w:t>
      </w:r>
      <w:proofErr w:type="gramStart"/>
      <w:r>
        <w:t>has to</w:t>
      </w:r>
      <w:proofErr w:type="gramEnd"/>
      <w:r>
        <w:t xml:space="preserve"> estimate the channel only for the RE positions where a particular UE is active. Therefore, we only need to place pilots over the indices where each UE is active. In NOMA, though, multiple UEs are transmitting over the same set of resources hence we need to alleviate the impact of pilot contamination.</w:t>
      </w:r>
    </w:p>
    <w:p w14:paraId="3E140FD9" w14:textId="77777777" w:rsidR="00970186" w:rsidRPr="00834915" w:rsidRDefault="00970186" w:rsidP="00970186">
      <w:pPr>
        <w:pStyle w:val="BodyText"/>
      </w:pPr>
      <w:r>
        <w:t xml:space="preserve">A typical work-around is to employ L-length DMRS </w:t>
      </w:r>
      <m:oMath>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k1</m:t>
                </m:r>
              </m:sub>
            </m:sSub>
            <m:r>
              <w:rPr>
                <w:rFonts w:ascii="Cambria Math" w:hAnsi="Cambria Math"/>
              </w:rPr>
              <m:t xml:space="preserve">… </m:t>
            </m:r>
            <m:sSub>
              <m:sSubPr>
                <m:ctrlPr>
                  <w:rPr>
                    <w:rFonts w:ascii="Cambria Math" w:hAnsi="Cambria Math"/>
                    <w:i/>
                  </w:rPr>
                </m:ctrlPr>
              </m:sSubPr>
              <m:e>
                <m:r>
                  <w:rPr>
                    <w:rFonts w:ascii="Cambria Math" w:hAnsi="Cambria Math"/>
                  </w:rPr>
                  <m:t>r</m:t>
                </m:r>
                <m:ctrlPr>
                  <w:rPr>
                    <w:rFonts w:ascii="Cambria Math" w:hAnsi="Cambria Math"/>
                    <w:b/>
                    <w:i/>
                  </w:rPr>
                </m:ctrlPr>
              </m:e>
              <m:sub>
                <m:r>
                  <w:rPr>
                    <w:rFonts w:ascii="Cambria Math" w:hAnsi="Cambria Math"/>
                  </w:rPr>
                  <m:t>kL</m:t>
                </m:r>
              </m:sub>
            </m:sSub>
          </m:e>
        </m:d>
      </m:oMath>
      <w:r>
        <w:t xml:space="preserve">  sequences that are orthogonal, i.e., </w:t>
      </w:r>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i</m:t>
            </m:r>
            <m:ctrlPr>
              <w:rPr>
                <w:rFonts w:ascii="Cambria Math" w:hAnsi="Cambria Math"/>
                <w:i/>
              </w:rPr>
            </m:ctrlPr>
          </m:sub>
          <m:sup>
            <m:r>
              <w:rPr>
                <w:rFonts w:ascii="Cambria Math" w:hAnsi="Cambria Math"/>
              </w:rPr>
              <m:t>H</m:t>
            </m:r>
          </m:sup>
        </m:sSubSup>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m:rPr>
                <m:sty m:val="bi"/>
              </m:rPr>
              <w:rPr>
                <w:rFonts w:ascii="Cambria Math" w:hAnsi="Cambria Math"/>
              </w:rPr>
              <m:t>j</m:t>
            </m:r>
          </m:sub>
        </m:sSub>
        <m:r>
          <w:rPr>
            <w:rFonts w:ascii="Cambria Math" w:hAnsi="Cambria Math"/>
          </w:rPr>
          <m:t>=0</m:t>
        </m:r>
      </m:oMath>
      <w:r>
        <w:t xml:space="preserve"> for </w:t>
      </w:r>
      <m:oMath>
        <m:r>
          <w:rPr>
            <w:rFonts w:ascii="Cambria Math" w:hAnsi="Cambria Math"/>
          </w:rPr>
          <m:t>i≠j</m:t>
        </m:r>
      </m:oMath>
      <w:r>
        <w:t>. Orthogonality in frequency can be achieved by:</w:t>
      </w:r>
    </w:p>
    <w:p w14:paraId="22B0C9BB" w14:textId="77777777" w:rsidR="00970186" w:rsidRDefault="00970186" w:rsidP="00970186">
      <w:pPr>
        <w:pStyle w:val="BodyText"/>
        <w:keepLines/>
        <w:numPr>
          <w:ilvl w:val="0"/>
          <w:numId w:val="25"/>
        </w:numPr>
        <w:tabs>
          <w:tab w:val="left" w:pos="1247"/>
          <w:tab w:val="left" w:pos="2552"/>
          <w:tab w:val="left" w:pos="3856"/>
          <w:tab w:val="left" w:pos="5216"/>
          <w:tab w:val="left" w:pos="6464"/>
          <w:tab w:val="left" w:pos="7768"/>
          <w:tab w:val="left" w:pos="9072"/>
          <w:tab w:val="left" w:pos="10206"/>
        </w:tabs>
        <w:suppressAutoHyphens/>
        <w:overflowPunct/>
        <w:autoSpaceDE/>
        <w:adjustRightInd/>
        <w:spacing w:before="240" w:after="0"/>
      </w:pPr>
      <w:r>
        <w:t>Orthogonal Cover Codes (OCCs), e.g., based on Walsh-Hadamard codes, which are fundamentally orthogonal sequences.</w:t>
      </w:r>
    </w:p>
    <w:p w14:paraId="7337D2DD" w14:textId="77777777" w:rsidR="00970186" w:rsidRDefault="00970186" w:rsidP="00970186">
      <w:pPr>
        <w:pStyle w:val="BodyText"/>
        <w:keepLines/>
        <w:numPr>
          <w:ilvl w:val="0"/>
          <w:numId w:val="25"/>
        </w:numPr>
        <w:tabs>
          <w:tab w:val="left" w:pos="1247"/>
          <w:tab w:val="left" w:pos="2552"/>
          <w:tab w:val="left" w:pos="3856"/>
          <w:tab w:val="left" w:pos="5216"/>
          <w:tab w:val="left" w:pos="6464"/>
          <w:tab w:val="left" w:pos="7768"/>
          <w:tab w:val="left" w:pos="9072"/>
          <w:tab w:val="left" w:pos="10206"/>
        </w:tabs>
        <w:suppressAutoHyphens/>
        <w:overflowPunct/>
        <w:autoSpaceDE/>
        <w:adjustRightInd/>
        <w:spacing w:before="240" w:after="0"/>
      </w:pPr>
      <w:r>
        <w:t>Comb-like multiplexing, where UEs are partitioned into groups. The groups occupy different REs, whereas the intra-group UEs use or</w:t>
      </w:r>
      <w:r>
        <w:tab/>
      </w:r>
      <w:proofErr w:type="spellStart"/>
      <w:r>
        <w:t>thogonal</w:t>
      </w:r>
      <w:proofErr w:type="spellEnd"/>
      <w:r>
        <w:t xml:space="preserve"> cover codes.</w:t>
      </w:r>
    </w:p>
    <w:p w14:paraId="3FA15083" w14:textId="77777777" w:rsidR="00970186" w:rsidRDefault="00970186" w:rsidP="00970186">
      <w:pPr>
        <w:pStyle w:val="BodyText"/>
      </w:pPr>
      <w:r>
        <w:t xml:space="preserve">Let us assume the vector channel model </w:t>
      </w:r>
      <m:oMath>
        <m:r>
          <m:rPr>
            <m:sty m:val="b"/>
          </m:rPr>
          <w:rPr>
            <w:rFonts w:ascii="Cambria Math" w:hAnsi="Cambria Math"/>
            <w:lang w:val="sv-SE"/>
          </w:rPr>
          <m:t>r</m:t>
        </m:r>
        <m:r>
          <w:rPr>
            <w:rFonts w:ascii="Cambria Math" w:hAnsi="Cambria Math"/>
            <w:lang w:val="en-US"/>
          </w:rPr>
          <m:t>=</m:t>
        </m:r>
        <m:nary>
          <m:naryPr>
            <m:chr m:val="∑"/>
            <m:limLoc m:val="subSup"/>
            <m:ctrlPr>
              <w:rPr>
                <w:rFonts w:ascii="Cambria Math" w:hAnsi="Cambria Math"/>
                <w:i/>
                <w:iCs/>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iCs/>
                    <w:lang w:val="en-US"/>
                  </w:rPr>
                </m:ctrlPr>
              </m:sSubPr>
              <m:e>
                <m:sSub>
                  <m:sSubPr>
                    <m:ctrlPr>
                      <w:rPr>
                        <w:rFonts w:ascii="Cambria Math" w:hAnsi="Cambria Math"/>
                        <w:i/>
                        <w:iCs/>
                        <w:lang w:val="en-US"/>
                      </w:rPr>
                    </m:ctrlPr>
                  </m:sSubPr>
                  <m:e>
                    <m:r>
                      <m:rPr>
                        <m:sty m:val="b"/>
                      </m:rPr>
                      <w:rPr>
                        <w:rFonts w:ascii="Cambria Math" w:hAnsi="Cambria Math"/>
                        <w:lang w:val="sv-SE"/>
                      </w:rPr>
                      <m:t>S</m:t>
                    </m:r>
                  </m:e>
                  <m:sub>
                    <m:r>
                      <w:rPr>
                        <w:rFonts w:ascii="Cambria Math" w:hAnsi="Cambria Math"/>
                        <w:lang w:val="en-US"/>
                      </w:rPr>
                      <m:t>k</m:t>
                    </m:r>
                  </m:sub>
                </m:sSub>
                <m:sSub>
                  <m:sSubPr>
                    <m:ctrlPr>
                      <w:rPr>
                        <w:rFonts w:ascii="Cambria Math" w:hAnsi="Cambria Math"/>
                        <w:i/>
                        <w:iCs/>
                        <w:lang w:val="en-US"/>
                      </w:rPr>
                    </m:ctrlPr>
                  </m:sSubPr>
                  <m:e>
                    <m:r>
                      <m:rPr>
                        <m:sty m:val="b"/>
                      </m:rPr>
                      <w:rPr>
                        <w:rFonts w:ascii="Cambria Math" w:hAnsi="Cambria Math"/>
                        <w:lang w:val="en-US"/>
                      </w:rPr>
                      <m:t>h</m:t>
                    </m:r>
                  </m:e>
                  <m:sub>
                    <m:r>
                      <w:rPr>
                        <w:rFonts w:ascii="Cambria Math" w:hAnsi="Cambria Math"/>
                        <w:lang w:val="en-US"/>
                      </w:rPr>
                      <m:t>k</m:t>
                    </m:r>
                  </m:sub>
                </m:sSub>
                <m:r>
                  <w:rPr>
                    <w:rFonts w:ascii="Cambria Math" w:hAnsi="Cambria Math"/>
                    <w:lang w:val="sv-SE"/>
                  </w:rPr>
                  <m:t>b</m:t>
                </m:r>
              </m:e>
              <m:sub>
                <m:r>
                  <w:rPr>
                    <w:rFonts w:ascii="Cambria Math" w:hAnsi="Cambria Math"/>
                    <w:lang w:val="en-US"/>
                  </w:rPr>
                  <m:t>k</m:t>
                </m:r>
              </m:sub>
            </m:sSub>
          </m:e>
        </m:nary>
        <m:r>
          <w:rPr>
            <w:rFonts w:ascii="Cambria Math" w:hAnsi="Cambria Math"/>
            <w:lang w:val="en-US"/>
          </w:rPr>
          <m:t>+</m:t>
        </m:r>
        <m:r>
          <m:rPr>
            <m:sty m:val="b"/>
          </m:rPr>
          <w:rPr>
            <w:rFonts w:ascii="Cambria Math" w:hAnsi="Cambria Math"/>
            <w:lang w:val="sv-SE"/>
          </w:rPr>
          <m:t>n</m:t>
        </m:r>
        <m:r>
          <m:rPr>
            <m:sty m:val="bi"/>
          </m:rPr>
          <w:rPr>
            <w:rFonts w:ascii="Cambria Math" w:hAnsi="Cambria Math"/>
            <w:lang w:val="en-US"/>
          </w:rPr>
          <m:t>,</m:t>
        </m:r>
      </m:oMath>
      <w:r w:rsidRPr="004B6F4C">
        <w:rPr>
          <w:lang w:val="en-US"/>
        </w:rPr>
        <w:t xml:space="preserve"> w</w:t>
      </w:r>
      <w:r w:rsidRPr="004B6F4C">
        <w:t xml:space="preserve">here </w:t>
      </w:r>
      <m:oMath>
        <m:sSub>
          <m:sSubPr>
            <m:ctrlPr>
              <w:rPr>
                <w:rFonts w:ascii="Cambria Math" w:hAnsi="Cambria Math"/>
                <w:i/>
                <w:iCs/>
                <w:lang w:val="en-US"/>
              </w:rPr>
            </m:ctrlPr>
          </m:sSubPr>
          <m:e>
            <m:r>
              <m:rPr>
                <m:sty m:val="bi"/>
              </m:rPr>
              <w:rPr>
                <w:rFonts w:ascii="Cambria Math" w:hAnsi="Cambria Math"/>
              </w:rPr>
              <m:t>S</m:t>
            </m:r>
          </m:e>
          <m:sub>
            <m:r>
              <m:rPr>
                <m:sty m:val="p"/>
              </m:rPr>
              <w:rPr>
                <w:rFonts w:ascii="Cambria Math" w:hAnsi="Cambria Math"/>
              </w:rPr>
              <m:t>k</m:t>
            </m:r>
          </m:sub>
        </m:sSub>
      </m:oMath>
      <w:r w:rsidRPr="004B6F4C">
        <w:t xml:space="preserve"> is a diagonal matrix with the elements of the </w:t>
      </w:r>
      <w:r>
        <w:t xml:space="preserve">signature </w:t>
      </w:r>
      <w:r w:rsidRPr="004B6F4C">
        <w:t xml:space="preserve">vector </w:t>
      </w:r>
      <m:oMath>
        <m:sSub>
          <m:sSubPr>
            <m:ctrlPr>
              <w:rPr>
                <w:rFonts w:ascii="Cambria Math" w:hAnsi="Cambria Math"/>
                <w:i/>
                <w:iCs/>
                <w:lang w:val="en-US"/>
              </w:rPr>
            </m:ctrlPr>
          </m:sSubPr>
          <m:e>
            <m:r>
              <m:rPr>
                <m:sty m:val="b"/>
              </m:rPr>
              <w:rPr>
                <w:rFonts w:ascii="Cambria Math" w:hAnsi="Cambria Math"/>
              </w:rPr>
              <m:t>s</m:t>
            </m:r>
          </m:e>
          <m:sub>
            <m:r>
              <w:rPr>
                <w:rFonts w:ascii="Cambria Math" w:hAnsi="Cambria Math"/>
              </w:rPr>
              <m:t>k</m:t>
            </m:r>
          </m:sub>
        </m:sSub>
      </m:oMath>
      <w:r w:rsidRPr="004B6F4C">
        <w:t xml:space="preserve"> on its main diagonal</w:t>
      </w:r>
      <w:r>
        <w:t xml:space="preserve">, </w:t>
      </w:r>
      <m:oMath>
        <m:sSub>
          <m:sSubPr>
            <m:ctrlPr>
              <w:rPr>
                <w:rFonts w:ascii="Cambria Math" w:hAnsi="Cambria Math"/>
                <w:i/>
              </w:rPr>
            </m:ctrlPr>
          </m:sSubPr>
          <m:e>
            <m:r>
              <w:rPr>
                <w:rFonts w:ascii="Cambria Math" w:hAnsi="Cambria Math"/>
              </w:rPr>
              <m:t>b</m:t>
            </m:r>
          </m:e>
          <m:sub>
            <m:r>
              <w:rPr>
                <w:rFonts w:ascii="Cambria Math" w:hAnsi="Cambria Math"/>
              </w:rPr>
              <m:t>k</m:t>
            </m:r>
          </m:sub>
        </m:sSub>
        <m:r>
          <w:rPr>
            <w:rFonts w:ascii="Cambria Math" w:hAnsi="Cambria Math"/>
          </w:rPr>
          <m:t xml:space="preserve"> </m:t>
        </m:r>
      </m:oMath>
      <w:r>
        <w:t xml:space="preserve">is the QAM modulated symbol, and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t xml:space="preserve"> is the channel to the k’th user. The optim</w:t>
      </w:r>
      <w:r w:rsidRPr="00713241">
        <w:t>al,</w:t>
      </w:r>
      <w:r>
        <w:t xml:space="preserve"> in the MMSE sense, channel estimator matrix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oMath>
      <w:r>
        <w:t xml:space="preserve"> for the k-th UE’s channel </w:t>
      </w:r>
      <m:oMath>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oMath>
      <w:r>
        <w:rPr>
          <w:b/>
        </w:rPr>
        <w:t xml:space="preserve">, </w:t>
      </w:r>
      <w:r>
        <w:t xml:space="preserve">is obtained as </w:t>
      </w:r>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m:rPr>
            <m:sty m:val="b"/>
          </m:rPr>
          <w:rPr>
            <w:rFonts w:ascii="Cambria Math" w:hAnsi="Cambria Math"/>
          </w:rPr>
          <m:t>≜</m:t>
        </m:r>
        <m:func>
          <m:funcPr>
            <m:ctrlPr>
              <w:rPr>
                <w:rFonts w:ascii="Cambria Math" w:hAnsi="Cambria Math"/>
              </w:rPr>
            </m:ctrlPr>
          </m:funcPr>
          <m:fName>
            <m:r>
              <m:rPr>
                <m:sty m:val="p"/>
              </m:rPr>
              <w:rPr>
                <w:rFonts w:ascii="Cambria Math" w:hAnsi="Cambria Math"/>
              </w:rPr>
              <m:t>argmin</m:t>
            </m:r>
          </m:fName>
          <m:e>
            <m:sSub>
              <m:sSubPr>
                <m:ctrlPr>
                  <w:rPr>
                    <w:rFonts w:ascii="Cambria Math" w:hAnsi="Cambria Math"/>
                  </w:rPr>
                </m:ctrlPr>
              </m:sSubPr>
              <m:e>
                <m:r>
                  <m:rPr>
                    <m:sty m:val="p"/>
                  </m:rPr>
                  <w:rPr>
                    <w:rFonts w:ascii="Cambria Math" w:hAnsi="Cambria Math"/>
                  </w:rPr>
                  <m:t>E</m:t>
                </m:r>
              </m:e>
              <m:sub>
                <m:r>
                  <m:rPr>
                    <m:sty m:val="b"/>
                  </m:rPr>
                  <w:rPr>
                    <w:rFonts w:ascii="Cambria Math" w:hAnsi="Cambria Math"/>
                  </w:rPr>
                  <m:t>h</m:t>
                </m:r>
              </m:sub>
            </m:sSub>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r>
                          <m:rPr>
                            <m:sty m:val="b"/>
                          </m:rPr>
                          <w:rPr>
                            <w:rFonts w:ascii="Cambria Math" w:hAnsi="Cambria Math"/>
                          </w:rPr>
                          <m:t>Fy</m:t>
                        </m:r>
                        <m:r>
                          <w:rPr>
                            <w:rFonts w:ascii="Cambria Math" w:hAnsi="Cambria Math"/>
                          </w:rPr>
                          <m:t>-</m:t>
                        </m:r>
                        <m:sSub>
                          <m:sSubPr>
                            <m:ctrlPr>
                              <w:rPr>
                                <w:rFonts w:ascii="Cambria Math" w:hAnsi="Cambria Math"/>
                                <w:b/>
                              </w:rPr>
                            </m:ctrlPr>
                          </m:sSubPr>
                          <m:e>
                            <m:r>
                              <m:rPr>
                                <m:sty m:val="b"/>
                              </m:rPr>
                              <w:rPr>
                                <w:rFonts w:ascii="Cambria Math" w:hAnsi="Cambria Math"/>
                              </w:rPr>
                              <m:t>h</m:t>
                            </m:r>
                            <m:ctrlPr>
                              <w:rPr>
                                <w:rFonts w:ascii="Cambria Math" w:hAnsi="Cambria Math"/>
                                <w:i/>
                              </w:rPr>
                            </m:ctrlPr>
                          </m:e>
                          <m:sub>
                            <m:r>
                              <w:rPr>
                                <w:rFonts w:ascii="Cambria Math" w:hAnsi="Cambria Math"/>
                              </w:rPr>
                              <m:t>k</m:t>
                            </m:r>
                          </m:sub>
                        </m:sSub>
                      </m:e>
                    </m:d>
                  </m:e>
                  <m:sup>
                    <m:r>
                      <w:rPr>
                        <w:rFonts w:ascii="Cambria Math" w:hAnsi="Cambria Math"/>
                      </w:rPr>
                      <m:t>2</m:t>
                    </m:r>
                  </m:sup>
                </m:sSup>
              </m:e>
            </m:d>
          </m:e>
        </m:func>
      </m:oMath>
      <w:r>
        <w:t xml:space="preserve">, where the expectation is over the channel distribution </w:t>
      </w:r>
      <m:oMath>
        <m:r>
          <m:rPr>
            <m:scr m:val="double-struck"/>
            <m:sty m:val="b"/>
          </m:rPr>
          <w:rPr>
            <w:rFonts w:ascii="Cambria Math" w:hAnsi="Cambria Math"/>
          </w:rPr>
          <m:t>C</m:t>
        </m:r>
        <m:r>
          <w:rPr>
            <w:rFonts w:ascii="Cambria Math" w:hAnsi="Cambria Math"/>
          </w:rPr>
          <m:t>N</m:t>
        </m:r>
        <m:d>
          <m:dPr>
            <m:ctrlPr>
              <w:rPr>
                <w:rFonts w:ascii="Cambria Math" w:hAnsi="Cambria Math"/>
              </w:rPr>
            </m:ctrlPr>
          </m:dPr>
          <m:e>
            <m:sSub>
              <m:sSubPr>
                <m:ctrlPr>
                  <w:rPr>
                    <w:rFonts w:ascii="Cambria Math" w:hAnsi="Cambria Math"/>
                    <w:i/>
                  </w:rPr>
                </m:ctrlPr>
              </m:sSubPr>
              <m:e>
                <m:r>
                  <m:rPr>
                    <m:sty m:val="b"/>
                  </m:rPr>
                  <w:rPr>
                    <w:rFonts w:ascii="Cambria Math" w:hAnsi="Cambria Math"/>
                  </w:rPr>
                  <m:t>0</m:t>
                </m:r>
                <m:ctrlPr>
                  <w:rPr>
                    <w:rFonts w:ascii="Cambria Math" w:hAnsi="Cambria Math"/>
                    <w:b/>
                  </w:rPr>
                </m:ctrlPr>
              </m:e>
              <m:sub>
                <m:r>
                  <w:rPr>
                    <w:rFonts w:ascii="Cambria Math" w:hAnsi="Cambria Math"/>
                  </w:rPr>
                  <m:t>N</m:t>
                </m:r>
              </m:sub>
            </m:sSub>
            <m:r>
              <w:rPr>
                <w:rFonts w:ascii="Cambria Math" w:hAnsi="Cambria Math"/>
              </w:rPr>
              <m:t>,</m:t>
            </m:r>
            <m:sSub>
              <m:sSubPr>
                <m:ctrlPr>
                  <w:rPr>
                    <w:rFonts w:ascii="Cambria Math" w:hAnsi="Cambria Math"/>
                    <w:i/>
                  </w:rPr>
                </m:ctrlPr>
              </m:sSubPr>
              <m:e>
                <m:r>
                  <m:rPr>
                    <m:sty m:val="bi"/>
                  </m:rPr>
                  <w:rPr>
                    <w:rFonts w:ascii="Cambria Math" w:hAnsi="Cambria Math"/>
                  </w:rPr>
                  <m:t>R</m:t>
                </m:r>
              </m:e>
              <m:sub>
                <m:r>
                  <w:rPr>
                    <w:rFonts w:ascii="Cambria Math" w:hAnsi="Cambria Math"/>
                  </w:rPr>
                  <m:t>k</m:t>
                </m:r>
              </m:sub>
            </m:sSub>
          </m:e>
        </m:d>
      </m:oMath>
      <w:r>
        <w:t>. It can be shown that the MMSE channel estimator is as follows</w:t>
      </w:r>
    </w:p>
    <w:p w14:paraId="2A9A7E8B" w14:textId="77777777" w:rsidR="00970186" w:rsidRDefault="00DB4B2D" w:rsidP="00970186">
      <w:pPr>
        <w:pStyle w:val="BodyText"/>
        <w:jc w:val="center"/>
      </w:pPr>
      <m:oMathPara>
        <m:oMath>
          <m:sSubSup>
            <m:sSubSupPr>
              <m:ctrlPr>
                <w:rPr>
                  <w:rFonts w:ascii="Cambria Math" w:hAnsi="Cambria Math"/>
                  <w:b/>
                </w:rPr>
              </m:ctrlPr>
            </m:sSubSupPr>
            <m:e>
              <m:r>
                <m:rPr>
                  <m:sty m:val="b"/>
                </m:rPr>
                <w:rPr>
                  <w:rFonts w:ascii="Cambria Math" w:hAnsi="Cambria Math"/>
                </w:rPr>
                <m:t>F</m:t>
              </m:r>
            </m:e>
            <m:sub>
              <m:r>
                <m:rPr>
                  <m:sty m:val="p"/>
                </m:rPr>
                <w:rPr>
                  <w:rFonts w:ascii="Cambria Math" w:hAnsi="Cambria Math"/>
                </w:rPr>
                <m:t>k</m:t>
              </m:r>
            </m:sub>
            <m:sup>
              <m:r>
                <m:rPr>
                  <m:sty m:val="p"/>
                </m:rPr>
                <w:rPr>
                  <w:rFonts w:ascii="Cambria Math" w:hAnsi="Cambria Math"/>
                </w:rPr>
                <m:t>CE</m:t>
              </m:r>
              <m:ctrlPr>
                <w:rPr>
                  <w:rFonts w:ascii="Cambria Math" w:hAnsi="Cambria Math"/>
                </w:rPr>
              </m:ctrlPr>
            </m:sup>
          </m:sSubSup>
          <m:r>
            <w:rPr>
              <w:rFonts w:ascii="Cambria Math" w:hAnsi="Cambria Math"/>
            </w:rPr>
            <m:t>=</m:t>
          </m:r>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sSup>
            <m:sSupPr>
              <m:ctrlPr>
                <w:rPr>
                  <w:rFonts w:ascii="Cambria Math" w:hAnsi="Cambria Math"/>
                  <w:i/>
                </w:rPr>
              </m:ctrlPr>
            </m:sSupPr>
            <m:e>
              <m:d>
                <m:dPr>
                  <m:begChr m:val="["/>
                  <m:endChr m:val="]"/>
                  <m:ctrlPr>
                    <w:rPr>
                      <w:rFonts w:ascii="Cambria Math" w:hAnsi="Cambria Math"/>
                      <w:i/>
                    </w:rPr>
                  </m:ctrlPr>
                </m:dPr>
                <m:e>
                  <m:nary>
                    <m:naryPr>
                      <m:chr m:val="∑"/>
                      <m:supHide m:val="1"/>
                      <m:ctrlPr>
                        <w:rPr>
                          <w:rFonts w:ascii="Cambria Math" w:hAnsi="Cambria Math"/>
                          <w:i/>
                        </w:rPr>
                      </m:ctrlPr>
                    </m:naryPr>
                    <m:sub>
                      <m:r>
                        <w:rPr>
                          <w:rFonts w:ascii="Cambria Math" w:hAnsi="Cambria Math"/>
                        </w:rPr>
                        <m:t>k</m:t>
                      </m:r>
                    </m:sub>
                    <m:sup/>
                    <m:e>
                      <m:sSub>
                        <m:sSubPr>
                          <m:ctrlPr>
                            <w:rPr>
                              <w:rFonts w:ascii="Cambria Math" w:hAnsi="Cambria Math"/>
                              <w:b/>
                              <w:i/>
                            </w:rPr>
                          </m:ctrlPr>
                        </m:sSubPr>
                        <m:e>
                          <m:r>
                            <m:rPr>
                              <m:sty m:val="bi"/>
                            </m:rPr>
                            <w:rPr>
                              <w:rFonts w:ascii="Cambria Math" w:hAnsi="Cambria Math"/>
                            </w:rPr>
                            <m:t>S</m:t>
                          </m:r>
                        </m:e>
                        <m:sub>
                          <m:r>
                            <w:rPr>
                              <w:rFonts w:ascii="Cambria Math" w:hAnsi="Cambria Math"/>
                            </w:rPr>
                            <m:t>k</m:t>
                          </m:r>
                        </m:sub>
                      </m:sSub>
                      <m:sSub>
                        <m:sSubPr>
                          <m:ctrlPr>
                            <w:rPr>
                              <w:rFonts w:ascii="Cambria Math" w:hAnsi="Cambria Math"/>
                              <w:b/>
                              <w:i/>
                            </w:rPr>
                          </m:ctrlPr>
                        </m:sSubPr>
                        <m:e>
                          <m:r>
                            <m:rPr>
                              <m:sty m:val="bi"/>
                            </m:rPr>
                            <w:rPr>
                              <w:rFonts w:ascii="Cambria Math" w:hAnsi="Cambria Math"/>
                            </w:rPr>
                            <m:t>R</m:t>
                          </m:r>
                        </m:e>
                        <m:sub>
                          <m:r>
                            <w:rPr>
                              <w:rFonts w:ascii="Cambria Math" w:hAnsi="Cambria Math"/>
                            </w:rPr>
                            <m:t>k</m:t>
                          </m:r>
                        </m:sub>
                      </m:sSub>
                      <m:sSubSup>
                        <m:sSubSupPr>
                          <m:ctrlPr>
                            <w:rPr>
                              <w:rFonts w:ascii="Cambria Math" w:hAnsi="Cambria Math"/>
                              <w:i/>
                            </w:rPr>
                          </m:ctrlPr>
                        </m:sSubSupPr>
                        <m:e>
                          <m:r>
                            <m:rPr>
                              <m:sty m:val="bi"/>
                            </m:rPr>
                            <w:rPr>
                              <w:rFonts w:ascii="Cambria Math" w:hAnsi="Cambria Math"/>
                            </w:rPr>
                            <m:t>S</m:t>
                          </m:r>
                          <m:ctrlPr>
                            <w:rPr>
                              <w:rFonts w:ascii="Cambria Math" w:hAnsi="Cambria Math"/>
                              <w:b/>
                              <w:i/>
                            </w:rPr>
                          </m:ctrlPr>
                        </m:e>
                        <m:sub>
                          <m:r>
                            <w:rPr>
                              <w:rFonts w:ascii="Cambria Math" w:hAnsi="Cambria Math"/>
                            </w:rPr>
                            <m:t>k</m:t>
                          </m:r>
                        </m:sub>
                        <m:sup>
                          <m:r>
                            <w:rPr>
                              <w:rFonts w:ascii="Cambria Math" w:hAnsi="Cambria Math"/>
                            </w:rPr>
                            <m:t>H</m:t>
                          </m:r>
                        </m:sup>
                      </m:sSubSup>
                    </m:e>
                  </m:nary>
                  <m:r>
                    <w:rPr>
                      <w:rFonts w:ascii="Cambria Math" w:hAnsi="Cambria Math"/>
                    </w:rPr>
                    <m:t>+(1/a)</m:t>
                  </m:r>
                  <m:sSub>
                    <m:sSubPr>
                      <m:ctrlPr>
                        <w:rPr>
                          <w:rFonts w:ascii="Cambria Math" w:hAnsi="Cambria Math"/>
                          <w:i/>
                        </w:rPr>
                      </m:ctrlPr>
                    </m:sSubPr>
                    <m:e>
                      <m:r>
                        <m:rPr>
                          <m:sty m:val="bi"/>
                        </m:rPr>
                        <w:rPr>
                          <w:rFonts w:ascii="Cambria Math" w:hAnsi="Cambria Math"/>
                        </w:rPr>
                        <m:t>I</m:t>
                      </m:r>
                      <m:ctrlPr>
                        <w:rPr>
                          <w:rFonts w:ascii="Cambria Math" w:hAnsi="Cambria Math"/>
                          <w:b/>
                          <w:i/>
                        </w:rPr>
                      </m:ctrlPr>
                    </m:e>
                    <m:sub>
                      <m:r>
                        <w:rPr>
                          <w:rFonts w:ascii="Cambria Math" w:hAnsi="Cambria Math"/>
                        </w:rPr>
                        <m:t>N</m:t>
                      </m:r>
                    </m:sub>
                  </m:sSub>
                </m:e>
              </m:d>
            </m:e>
            <m:sup>
              <m:r>
                <w:rPr>
                  <w:rFonts w:ascii="Cambria Math" w:hAnsi="Cambria Math"/>
                </w:rPr>
                <m:t>-1</m:t>
              </m:r>
            </m:sup>
          </m:sSup>
        </m:oMath>
      </m:oMathPara>
    </w:p>
    <w:p w14:paraId="03F562E1" w14:textId="629E65BD" w:rsidR="00970186" w:rsidRPr="00B54E77" w:rsidRDefault="00970186" w:rsidP="00970186">
      <w:pPr>
        <w:pStyle w:val="BodyText"/>
        <w:rPr>
          <w:strike/>
          <w:color w:val="FF0000"/>
        </w:rPr>
      </w:pPr>
      <w:r>
        <w:t xml:space="preserve">Once the channel estimates are available, the remaining positions of each UE’s channel can be found via interpolation. Due to channel dispersion, this assumption does not hold in practise and there will always be residual interference. Inter-UE interference can be handled by a cyclic shift on the basis sequence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r</m:t>
                </m:r>
                <m:ctrlPr>
                  <w:rPr>
                    <w:rFonts w:ascii="Cambria Math" w:hAnsi="Cambria Math"/>
                    <w:b/>
                    <w:i/>
                  </w:rPr>
                </m:ctrlPr>
              </m:e>
              <m:sub>
                <m:r>
                  <w:rPr>
                    <w:rFonts w:ascii="Cambria Math" w:hAnsi="Cambria Math"/>
                  </w:rPr>
                  <m:t>k</m:t>
                </m:r>
              </m:sub>
            </m:sSub>
          </m:e>
        </m:d>
      </m:oMath>
      <w:r>
        <w:t xml:space="preserve"> and construct a new sequence </w:t>
      </w:r>
      <m:oMath>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r</m:t>
                </m:r>
              </m:e>
              <m:sub>
                <m:r>
                  <w:rPr>
                    <w:rFonts w:ascii="Cambria Math" w:hAnsi="Cambria Math"/>
                  </w:rPr>
                  <m:t>k</m:t>
                </m:r>
              </m:sub>
              <m:sup>
                <m:r>
                  <w:rPr>
                    <w:rFonts w:ascii="Cambria Math" w:hAnsi="Cambria Math"/>
                  </w:rPr>
                  <m:t>'</m:t>
                </m:r>
              </m:sup>
            </m:sSubSup>
          </m:e>
        </m:d>
      </m:oMath>
      <w:r>
        <w:t xml:space="preserve"> whose elements are given as  </w:t>
      </w:r>
      <m:oMath>
        <m:sSubSup>
          <m:sSubSupPr>
            <m:ctrlPr>
              <w:rPr>
                <w:rFonts w:ascii="Cambria Math" w:hAnsi="Cambria Math"/>
                <w:i/>
              </w:rPr>
            </m:ctrlPr>
          </m:sSubSupPr>
          <m:e>
            <m:r>
              <w:rPr>
                <w:rFonts w:ascii="Cambria Math" w:hAnsi="Cambria Math"/>
              </w:rPr>
              <m:t>r</m:t>
            </m:r>
          </m:e>
          <m:sub>
            <m:r>
              <w:rPr>
                <w:rFonts w:ascii="Cambria Math" w:hAnsi="Cambria Math"/>
              </w:rPr>
              <m:t>kj</m:t>
            </m:r>
          </m:sub>
          <m:sup>
            <m:r>
              <w:rPr>
                <w:rFonts w:ascii="Cambria Math" w:hAnsi="Cambria Math"/>
              </w:rPr>
              <m:t>'</m:t>
            </m:r>
          </m:sup>
        </m:sSubSup>
        <m:r>
          <w:rPr>
            <w:rFonts w:ascii="Cambria Math" w:hAnsi="Cambria Math"/>
          </w:rPr>
          <m:t>=</m:t>
        </m:r>
        <m:sSup>
          <m:sSupPr>
            <m:ctrlPr>
              <w:rPr>
                <w:rFonts w:ascii="Cambria Math" w:hAnsi="Cambria Math"/>
                <w:i/>
              </w:rPr>
            </m:ctrlPr>
          </m:sSupPr>
          <m:e>
            <m:r>
              <w:rPr>
                <w:rFonts w:ascii="Cambria Math" w:hAnsi="Cambria Math"/>
              </w:rPr>
              <m:t>e</m:t>
            </m:r>
          </m:e>
          <m:sup>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kj</m:t>
                </m:r>
              </m:sub>
            </m:sSub>
          </m:sup>
        </m:sSup>
        <m:sSub>
          <m:sSubPr>
            <m:ctrlPr>
              <w:rPr>
                <w:rFonts w:ascii="Cambria Math" w:hAnsi="Cambria Math"/>
                <w:i/>
              </w:rPr>
            </m:ctrlPr>
          </m:sSubPr>
          <m:e>
            <m:r>
              <w:rPr>
                <w:rFonts w:ascii="Cambria Math" w:hAnsi="Cambria Math"/>
              </w:rPr>
              <m:t>r</m:t>
            </m:r>
          </m:e>
          <m:sub>
            <m:r>
              <w:rPr>
                <w:rFonts w:ascii="Cambria Math" w:hAnsi="Cambria Math"/>
              </w:rPr>
              <m:t>kj</m:t>
            </m:r>
          </m:sub>
        </m:sSub>
      </m:oMath>
      <w:r>
        <w:t xml:space="preserve">. Note here that, for time domain </w:t>
      </w:r>
      <w:r>
        <w:lastRenderedPageBreak/>
        <w:t xml:space="preserve">CE, the base DMRS sequence is the same for all overlapping UEs; one such example are </w:t>
      </w:r>
      <w:proofErr w:type="spellStart"/>
      <w:r>
        <w:t>Zadoff</w:t>
      </w:r>
      <w:proofErr w:type="spellEnd"/>
      <w:r>
        <w:t>-Chu sequences</w:t>
      </w:r>
      <w:r>
        <w:fldChar w:fldCharType="begin"/>
      </w:r>
      <w:r>
        <w:instrText xml:space="preserve"> REF _Ref477778776 \r \h </w:instrText>
      </w:r>
      <w:r>
        <w:fldChar w:fldCharType="end"/>
      </w:r>
      <w:r>
        <w:t xml:space="preserve">, which are constant-modulus and possess good autocorrelation properties. </w:t>
      </w:r>
    </w:p>
    <w:p w14:paraId="77DF170B" w14:textId="77777777" w:rsidR="00970186" w:rsidRPr="008D0415" w:rsidRDefault="00970186" w:rsidP="00970186">
      <w:pPr>
        <w:pStyle w:val="Observation"/>
        <w:overflowPunct/>
        <w:autoSpaceDE/>
        <w:autoSpaceDN/>
        <w:adjustRightInd/>
        <w:spacing w:before="120" w:after="160" w:line="259" w:lineRule="auto"/>
        <w:ind w:left="1701" w:hanging="1701"/>
        <w:jc w:val="left"/>
        <w:textAlignment w:val="auto"/>
      </w:pPr>
      <w:r>
        <w:t>Channel estimation for colliding UEs can be done using DMRS sequences with different cyclic shifts</w:t>
      </w:r>
    </w:p>
    <w:p w14:paraId="448401DF" w14:textId="77777777" w:rsidR="00970186" w:rsidRPr="00691FA2" w:rsidRDefault="00970186" w:rsidP="00970186">
      <w:pPr>
        <w:pStyle w:val="BodyText"/>
        <w:rPr>
          <w:lang w:val="en-US"/>
        </w:rPr>
      </w:pPr>
    </w:p>
    <w:p w14:paraId="67C598B2" w14:textId="3A36FEB5" w:rsidR="00970186" w:rsidRDefault="00970186" w:rsidP="00970186">
      <w:pPr>
        <w:pStyle w:val="Heading2"/>
      </w:pPr>
      <w:r>
        <w:t>2.</w:t>
      </w:r>
      <w:r w:rsidR="00C46109">
        <w:t>4</w:t>
      </w:r>
      <w:r>
        <w:tab/>
        <w:t>Power Control</w:t>
      </w:r>
    </w:p>
    <w:p w14:paraId="0C646AAA" w14:textId="25BFB87E" w:rsidR="00970186" w:rsidRDefault="00970186" w:rsidP="00970186">
      <w:pPr>
        <w:pStyle w:val="BodyText"/>
      </w:pPr>
      <w:r>
        <w:t xml:space="preserve">One key issue with any multiuser detection is the power imbalance between users. More specifically, in most designs it is assumed that the received power from different users at the receiver is either the same or can be ideally controlled. However, </w:t>
      </w:r>
      <w:proofErr w:type="gramStart"/>
      <w:r>
        <w:t>in reality the</w:t>
      </w:r>
      <w:proofErr w:type="gramEnd"/>
      <w:r>
        <w:t xml:space="preserve"> power control process is not ideal and there can be a difference of </w:t>
      </w:r>
      <m:oMath>
        <m:r>
          <w:rPr>
            <w:rFonts w:ascii="Cambria Math" w:hAnsi="Cambria Math"/>
          </w:rPr>
          <m:t>∆P</m:t>
        </m:r>
      </m:oMath>
      <w:r>
        <w:t xml:space="preserve"> between the target power and the realistic power at the receiver. It is important that the power control imperfection is considered in the evaluation of different NoMA schemes.</w:t>
      </w:r>
    </w:p>
    <w:p w14:paraId="035CA81F" w14:textId="22344864" w:rsidR="00970186" w:rsidRDefault="0088743F" w:rsidP="00A81104">
      <w:pPr>
        <w:pStyle w:val="BodyText"/>
      </w:pPr>
      <w:r>
        <w:t xml:space="preserve">In </w:t>
      </w:r>
      <w:r w:rsidR="009E7B52">
        <w:t>[2]</w:t>
      </w:r>
      <w:r w:rsidR="00714ABC">
        <w:t xml:space="preserve">, it was discussed that a proper model for power control should </w:t>
      </w:r>
      <w:r w:rsidR="00EA1886">
        <w:t>consider</w:t>
      </w:r>
      <w:r w:rsidR="008609CB">
        <w:t xml:space="preserve"> for example a uniformly distributed </w:t>
      </w:r>
      <w:r w:rsidR="000A7200">
        <w:t xml:space="preserve">error between </w:t>
      </w:r>
      <w:r w:rsidR="00A81104">
        <w:t xml:space="preserve">[-5 +5]. </w:t>
      </w:r>
      <w:r w:rsidR="00970186">
        <w:t xml:space="preserve">In Figure 1, we show the impact of imperfect power control on WSMA with 6 and 8 users on 4 resource elements. The variation on the long term received power is modelled as uniformly distributed in the interval </w:t>
      </w:r>
      <m:oMath>
        <m:d>
          <m:dPr>
            <m:begChr m:val="["/>
            <m:endChr m:val="]"/>
            <m:ctrlPr>
              <w:rPr>
                <w:rFonts w:ascii="Cambria Math" w:hAnsi="Cambria Math"/>
              </w:rPr>
            </m:ctrlPr>
          </m:dPr>
          <m:e>
            <m:r>
              <m:rPr>
                <m:sty m:val="p"/>
              </m:rPr>
              <w:rPr>
                <w:rFonts w:ascii="Cambria Math" w:hAnsi="Cambria Math"/>
              </w:rPr>
              <m:t>-5,5</m:t>
            </m:r>
          </m:e>
        </m:d>
      </m:oMath>
      <w:r w:rsidR="00970186">
        <w:t xml:space="preserve">dB. We can see that the lack of perfect power control leads to performance degradation, yet the system shows robustness and the penalty is negligible for most of the cases. What is noticeable is that performance may improve in the low-SNR regime. A reason can be that in this regime performance is poor due to the inability to resolve the overlapping UEs. Therefore, asymmetry in the received power levels can benefit some of the UEs, which can dominate the aggregate signal. </w:t>
      </w:r>
    </w:p>
    <w:p w14:paraId="14AA4EC2" w14:textId="0F9BBBC7" w:rsidR="00970186" w:rsidRPr="0054743B" w:rsidRDefault="00970186" w:rsidP="00970186">
      <w:pPr>
        <w:pStyle w:val="Observation"/>
        <w:overflowPunct/>
        <w:autoSpaceDE/>
        <w:autoSpaceDN/>
        <w:adjustRightInd/>
        <w:spacing w:before="120" w:after="160" w:line="259" w:lineRule="auto"/>
        <w:ind w:left="1701" w:hanging="1701"/>
        <w:jc w:val="left"/>
        <w:textAlignment w:val="auto"/>
      </w:pPr>
      <w:r>
        <w:t xml:space="preserve">A NoMA scheme should be able to tolerate a </w:t>
      </w:r>
      <w:r w:rsidR="00E31B8C">
        <w:t>p</w:t>
      </w:r>
      <w:r>
        <w:t xml:space="preserve">ower </w:t>
      </w:r>
      <w:r w:rsidR="00E31B8C">
        <w:t xml:space="preserve">control error </w:t>
      </w:r>
      <w:r>
        <w:t>imbalance</w:t>
      </w:r>
      <w:r w:rsidR="00E805BB">
        <w:t xml:space="preserve"> </w:t>
      </w:r>
      <w:r w:rsidR="00E805BB" w:rsidRPr="00E805BB">
        <w:rPr>
          <w:rFonts w:asciiTheme="minorBidi" w:hAnsiTheme="minorBidi" w:cstheme="minorBidi"/>
          <w:bCs w:val="0"/>
        </w:rPr>
        <w:t>uniformly distributed in the interval [-5,</w:t>
      </w:r>
      <w:proofErr w:type="gramStart"/>
      <w:r w:rsidR="00E805BB" w:rsidRPr="00E805BB">
        <w:rPr>
          <w:rFonts w:asciiTheme="minorBidi" w:hAnsiTheme="minorBidi" w:cstheme="minorBidi"/>
          <w:bCs w:val="0"/>
        </w:rPr>
        <w:t>5]dB</w:t>
      </w:r>
      <w:proofErr w:type="gramEnd"/>
    </w:p>
    <w:p w14:paraId="649C235E" w14:textId="77777777" w:rsidR="00970186" w:rsidRPr="00A51E0E" w:rsidRDefault="00970186" w:rsidP="00970186">
      <w:pPr>
        <w:pStyle w:val="BodyText"/>
        <w:rPr>
          <w:lang w:val="en-US"/>
        </w:rPr>
      </w:pPr>
    </w:p>
    <w:p w14:paraId="5505C482" w14:textId="77777777" w:rsidR="00970186" w:rsidRPr="00F37B17" w:rsidRDefault="00970186" w:rsidP="00970186">
      <w:pPr>
        <w:ind w:left="1276"/>
        <w:jc w:val="center"/>
      </w:pPr>
      <w:r w:rsidRPr="001D0CD9">
        <w:rPr>
          <w:noProof/>
          <w:lang w:val="sv-SE" w:eastAsia="sv-SE"/>
        </w:rPr>
        <w:drawing>
          <wp:inline distT="0" distB="0" distL="0" distR="0" wp14:anchorId="03AF6B72" wp14:editId="7BB9966E">
            <wp:extent cx="4533900" cy="387060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3413" t="5029" r="4437" b="2213"/>
                    <a:stretch/>
                  </pic:blipFill>
                  <pic:spPr bwMode="auto">
                    <a:xfrm>
                      <a:off x="0" y="0"/>
                      <a:ext cx="4570715" cy="3902036"/>
                    </a:xfrm>
                    <a:prstGeom prst="rect">
                      <a:avLst/>
                    </a:prstGeom>
                    <a:noFill/>
                    <a:ln>
                      <a:noFill/>
                    </a:ln>
                    <a:extLst>
                      <a:ext uri="{53640926-AAD7-44D8-BBD7-CCE9431645EC}">
                        <a14:shadowObscured xmlns:a14="http://schemas.microsoft.com/office/drawing/2010/main"/>
                      </a:ext>
                    </a:extLst>
                  </pic:spPr>
                </pic:pic>
              </a:graphicData>
            </a:graphic>
          </wp:inline>
        </w:drawing>
      </w:r>
    </w:p>
    <w:p w14:paraId="595096A0" w14:textId="70E78D48" w:rsidR="00970186" w:rsidRPr="00E73057" w:rsidRDefault="00970186" w:rsidP="00970186">
      <w:pPr>
        <w:pStyle w:val="Caption"/>
        <w:ind w:left="1276"/>
        <w:rPr>
          <w:rFonts w:asciiTheme="minorBidi" w:hAnsiTheme="minorBidi" w:cstheme="minorBidi"/>
          <w:b w:val="0"/>
          <w:bCs/>
        </w:rPr>
      </w:pPr>
      <w:r w:rsidRPr="00E73057">
        <w:rPr>
          <w:rFonts w:asciiTheme="minorBidi" w:hAnsiTheme="minorBidi" w:cstheme="minorBidi"/>
          <w:b w:val="0"/>
          <w:bCs/>
        </w:rPr>
        <w:t xml:space="preserve">Figure </w:t>
      </w:r>
      <w:r w:rsidR="00C46109">
        <w:rPr>
          <w:rFonts w:asciiTheme="minorBidi" w:hAnsiTheme="minorBidi" w:cstheme="minorBidi"/>
          <w:b w:val="0"/>
          <w:bCs/>
        </w:rPr>
        <w:t>1</w:t>
      </w:r>
      <w:r w:rsidRPr="00E73057">
        <w:rPr>
          <w:rFonts w:asciiTheme="minorBidi" w:hAnsiTheme="minorBidi" w:cstheme="minorBidi"/>
          <w:b w:val="0"/>
          <w:bCs/>
        </w:rPr>
        <w:t>: Sum-rate performance of WSMA</w:t>
      </w:r>
      <w:r w:rsidRPr="00E73057">
        <w:rPr>
          <w:rFonts w:asciiTheme="minorBidi" w:hAnsiTheme="minorBidi" w:cstheme="minorBidi"/>
          <w:b w:val="0"/>
          <w:bCs/>
          <w:vertAlign w:val="subscript"/>
        </w:rPr>
        <w:t>4</w:t>
      </w:r>
      <w:r w:rsidRPr="00E73057">
        <w:rPr>
          <w:rFonts w:asciiTheme="minorBidi" w:hAnsiTheme="minorBidi" w:cstheme="minorBidi"/>
          <w:b w:val="0"/>
          <w:bCs/>
        </w:rPr>
        <w:t xml:space="preserve"> for a system with QPSK, and imperfect power control, such that the long-term average SNR is uniformly distributed in the interval</w:t>
      </w:r>
      <w:r w:rsidR="00F94BE8">
        <w:rPr>
          <w:rFonts w:asciiTheme="minorBidi" w:hAnsiTheme="minorBidi" w:cstheme="minorBidi"/>
          <w:b w:val="0"/>
          <w:bCs/>
        </w:rPr>
        <w:t xml:space="preserve"> [-5,</w:t>
      </w:r>
      <w:proofErr w:type="gramStart"/>
      <w:r w:rsidR="00F94BE8">
        <w:rPr>
          <w:rFonts w:asciiTheme="minorBidi" w:hAnsiTheme="minorBidi" w:cstheme="minorBidi"/>
          <w:b w:val="0"/>
          <w:bCs/>
        </w:rPr>
        <w:t>5]dB</w:t>
      </w:r>
      <w:proofErr w:type="gramEnd"/>
    </w:p>
    <w:p w14:paraId="044F0CA9" w14:textId="77777777" w:rsidR="00970186" w:rsidRPr="00E73057" w:rsidRDefault="00970186" w:rsidP="00970186">
      <w:pPr>
        <w:rPr>
          <w:rFonts w:asciiTheme="minorBidi" w:hAnsiTheme="minorBidi" w:cstheme="minorBidi"/>
          <w:bCs/>
        </w:rPr>
      </w:pPr>
    </w:p>
    <w:p w14:paraId="1215E80A" w14:textId="77777777" w:rsidR="00C473A5" w:rsidRDefault="00C473A5" w:rsidP="00CE0424">
      <w:pPr>
        <w:pStyle w:val="Heading1"/>
        <w:sectPr w:rsidR="00C473A5" w:rsidSect="00590C61">
          <w:headerReference w:type="even" r:id="rId14"/>
          <w:footerReference w:type="default" r:id="rId15"/>
          <w:footnotePr>
            <w:numRestart w:val="eachSect"/>
          </w:footnotePr>
          <w:type w:val="continuous"/>
          <w:pgSz w:w="11907" w:h="16840" w:code="9"/>
          <w:pgMar w:top="1134" w:right="1134" w:bottom="1134" w:left="1134" w:header="680" w:footer="567" w:gutter="0"/>
          <w:cols w:space="720"/>
          <w:docGrid w:linePitch="272"/>
        </w:sectPr>
      </w:pPr>
    </w:p>
    <w:p w14:paraId="6D7387B2" w14:textId="1CACBBC5" w:rsidR="00C01F33" w:rsidRPr="00CE0424" w:rsidRDefault="00E73057" w:rsidP="00CE0424">
      <w:pPr>
        <w:pStyle w:val="Heading1"/>
      </w:pPr>
      <w:r>
        <w:lastRenderedPageBreak/>
        <w:t>3</w:t>
      </w:r>
      <w:r>
        <w:tab/>
      </w:r>
      <w:r w:rsidR="00C01F33" w:rsidRPr="00CE0424">
        <w:t>Conclusion</w:t>
      </w:r>
    </w:p>
    <w:p w14:paraId="38A95B60" w14:textId="4C189647" w:rsidR="00E73057" w:rsidRDefault="00E73057" w:rsidP="00E73057">
      <w:pPr>
        <w:pStyle w:val="BodyText"/>
      </w:pPr>
      <w:r>
        <w:t xml:space="preserve">In section 2, the following observations and proposals were made: </w:t>
      </w:r>
    </w:p>
    <w:p w14:paraId="57990D78" w14:textId="77777777" w:rsidR="0032141E" w:rsidRPr="008D0415" w:rsidRDefault="0032141E" w:rsidP="0032141E">
      <w:pPr>
        <w:pStyle w:val="Observation"/>
        <w:numPr>
          <w:ilvl w:val="0"/>
          <w:numId w:val="30"/>
        </w:numPr>
        <w:overflowPunct/>
        <w:autoSpaceDE/>
        <w:autoSpaceDN/>
        <w:adjustRightInd/>
        <w:spacing w:before="120" w:after="160" w:line="259" w:lineRule="auto"/>
        <w:jc w:val="left"/>
        <w:textAlignment w:val="auto"/>
      </w:pPr>
      <w:r>
        <w:t>Channel estimation for colliding UEs can be done using DMRS sequences with different cyclic shifts</w:t>
      </w:r>
    </w:p>
    <w:p w14:paraId="6FF877A6" w14:textId="35BCF737" w:rsidR="00E805BB" w:rsidRPr="0054743B" w:rsidRDefault="00E805BB" w:rsidP="00E805BB">
      <w:pPr>
        <w:pStyle w:val="Observation"/>
        <w:numPr>
          <w:ilvl w:val="0"/>
          <w:numId w:val="30"/>
        </w:numPr>
        <w:overflowPunct/>
        <w:autoSpaceDE/>
        <w:autoSpaceDN/>
        <w:adjustRightInd/>
        <w:spacing w:before="120" w:after="160" w:line="259" w:lineRule="auto"/>
        <w:jc w:val="left"/>
        <w:textAlignment w:val="auto"/>
      </w:pPr>
      <w:r>
        <w:t xml:space="preserve">A NoMA scheme should be able to tolerate a power control error imbalance </w:t>
      </w:r>
      <w:r w:rsidRPr="00E805BB">
        <w:rPr>
          <w:rFonts w:asciiTheme="minorBidi" w:hAnsiTheme="minorBidi" w:cstheme="minorBidi"/>
          <w:bCs w:val="0"/>
        </w:rPr>
        <w:t>uniformly distributed in the interval [-5,</w:t>
      </w:r>
      <w:r w:rsidR="00446EC8">
        <w:rPr>
          <w:rFonts w:asciiTheme="minorBidi" w:hAnsiTheme="minorBidi" w:cstheme="minorBidi"/>
          <w:bCs w:val="0"/>
        </w:rPr>
        <w:t xml:space="preserve"> </w:t>
      </w:r>
      <w:proofErr w:type="gramStart"/>
      <w:r w:rsidRPr="00E805BB">
        <w:rPr>
          <w:rFonts w:asciiTheme="minorBidi" w:hAnsiTheme="minorBidi" w:cstheme="minorBidi"/>
          <w:bCs w:val="0"/>
        </w:rPr>
        <w:t>5]dB</w:t>
      </w:r>
      <w:proofErr w:type="gramEnd"/>
    </w:p>
    <w:p w14:paraId="4E9644E0" w14:textId="3638D01A" w:rsidR="0032141E" w:rsidRDefault="0032141E" w:rsidP="0032141E">
      <w:pPr>
        <w:pStyle w:val="Proposal"/>
        <w:numPr>
          <w:ilvl w:val="0"/>
          <w:numId w:val="29"/>
        </w:numPr>
      </w:pPr>
      <w:r>
        <w:t xml:space="preserve">The resource allocation in NoMA SI should consider the existing schemes in NR, i.e. scheduling by dynamic grant, and scheduling by configured grant type 1 and type 2 </w:t>
      </w:r>
    </w:p>
    <w:p w14:paraId="74E26AF3" w14:textId="77777777" w:rsidR="00891355" w:rsidRPr="00F5449F" w:rsidRDefault="00891355" w:rsidP="00891355">
      <w:pPr>
        <w:pStyle w:val="Proposal"/>
        <w:numPr>
          <w:ilvl w:val="0"/>
          <w:numId w:val="29"/>
        </w:numPr>
      </w:pPr>
      <w:r w:rsidRPr="00F5449F">
        <w:t xml:space="preserve">NoMA SI should primarily consider synchronous transmission within the CP. In a next step the implications of the asynchronous transmission should be studied, </w:t>
      </w:r>
      <w:proofErr w:type="gramStart"/>
      <w:r w:rsidRPr="00F5449F">
        <w:t>in order to</w:t>
      </w:r>
      <w:proofErr w:type="gramEnd"/>
      <w:r w:rsidRPr="00F5449F">
        <w:t xml:space="preserve"> decide whether the design should address asynchronous case.</w:t>
      </w:r>
    </w:p>
    <w:p w14:paraId="3C944971" w14:textId="77777777" w:rsidR="00E07760" w:rsidRPr="000D0DC5" w:rsidRDefault="00E07760" w:rsidP="00E07760">
      <w:pPr>
        <w:pStyle w:val="Proposal"/>
        <w:numPr>
          <w:ilvl w:val="0"/>
          <w:numId w:val="0"/>
        </w:numPr>
      </w:pPr>
    </w:p>
    <w:p w14:paraId="7BED45C8" w14:textId="77777777" w:rsidR="00F507D1" w:rsidRPr="00CE0424" w:rsidRDefault="00F507D1" w:rsidP="00CE0424">
      <w:pPr>
        <w:pStyle w:val="Heading1"/>
      </w:pPr>
      <w:bookmarkStart w:id="2" w:name="_In-sequence_SDU_delivery"/>
      <w:bookmarkEnd w:id="2"/>
      <w:r w:rsidRPr="00CE0424">
        <w:t>References</w:t>
      </w:r>
    </w:p>
    <w:p w14:paraId="184E9519" w14:textId="3F18274E" w:rsidR="009C2704" w:rsidRDefault="009C2704" w:rsidP="009C2704">
      <w:pPr>
        <w:pStyle w:val="Reference"/>
      </w:pPr>
      <w:bookmarkStart w:id="3" w:name="_Ref174151459"/>
      <w:bookmarkStart w:id="4" w:name="_Ref189809556"/>
      <w:r>
        <w:t>RP-171043, Study on Non-</w:t>
      </w:r>
      <w:r w:rsidR="004744B3">
        <w:t>Orthogonal</w:t>
      </w:r>
      <w:r>
        <w:t xml:space="preserve"> Multiple Access for NR</w:t>
      </w:r>
    </w:p>
    <w:p w14:paraId="1CA8B9AC" w14:textId="72D8B8C0" w:rsidR="0088743F" w:rsidRPr="00ED364B" w:rsidRDefault="00C0691B" w:rsidP="009E7B52">
      <w:pPr>
        <w:pStyle w:val="Reference"/>
      </w:pPr>
      <w:r>
        <w:t>R1-1806246</w:t>
      </w:r>
      <w:r w:rsidR="009E7B52">
        <w:t>, “</w:t>
      </w:r>
      <w:r w:rsidR="009E7B52" w:rsidRPr="009E7B52">
        <w:t>Impairments model for link and system evaluations</w:t>
      </w:r>
      <w:r w:rsidR="009E7B52">
        <w:t>”, Ericsson</w:t>
      </w:r>
    </w:p>
    <w:p w14:paraId="4C802991" w14:textId="3EA2F8C2" w:rsidR="005F3025" w:rsidRPr="00CE0424" w:rsidRDefault="005F3025" w:rsidP="009C2704">
      <w:pPr>
        <w:pStyle w:val="Reference"/>
        <w:numPr>
          <w:ilvl w:val="0"/>
          <w:numId w:val="0"/>
        </w:numPr>
        <w:ind w:left="567"/>
      </w:pPr>
    </w:p>
    <w:bookmarkEnd w:id="3"/>
    <w:bookmarkEnd w:id="4"/>
    <w:p w14:paraId="6BC78D38" w14:textId="77777777" w:rsidR="003A7EF3" w:rsidRPr="00CE0424" w:rsidRDefault="003A7EF3" w:rsidP="00CE0424">
      <w:pPr>
        <w:pStyle w:val="BodyText"/>
      </w:pPr>
    </w:p>
    <w:sectPr w:rsidR="003A7EF3" w:rsidRPr="00CE0424" w:rsidSect="00590C61">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3AE4A" w14:textId="77777777" w:rsidR="00DB4B2D" w:rsidRDefault="00DB4B2D">
      <w:r>
        <w:separator/>
      </w:r>
    </w:p>
  </w:endnote>
  <w:endnote w:type="continuationSeparator" w:id="0">
    <w:p w14:paraId="3360ABC3" w14:textId="77777777" w:rsidR="00DB4B2D" w:rsidRDefault="00DB4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669BF" w14:textId="75ADD1BC" w:rsidR="005C3612" w:rsidRDefault="005C36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50A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50A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8D396" w14:textId="77777777" w:rsidR="00DB4B2D" w:rsidRDefault="00DB4B2D">
      <w:r>
        <w:separator/>
      </w:r>
    </w:p>
  </w:footnote>
  <w:footnote w:type="continuationSeparator" w:id="0">
    <w:p w14:paraId="6A887C41" w14:textId="77777777" w:rsidR="00DB4B2D" w:rsidRDefault="00DB4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DDE22" w14:textId="77777777" w:rsidR="005C3612" w:rsidRDefault="005C361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8E5082"/>
    <w:multiLevelType w:val="hybridMultilevel"/>
    <w:tmpl w:val="6736F670"/>
    <w:lvl w:ilvl="0" w:tplc="D6EA8B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FC6074"/>
    <w:multiLevelType w:val="hybridMultilevel"/>
    <w:tmpl w:val="9C0882B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F093F"/>
    <w:multiLevelType w:val="multilevel"/>
    <w:tmpl w:val="BE067F32"/>
    <w:styleLink w:val="WWOutlineListStyle11"/>
    <w:lvl w:ilvl="0">
      <w:start w:val="1"/>
      <w:numFmt w:val="decimal"/>
      <w:lvlText w:val="%1"/>
      <w:lvlJc w:val="left"/>
      <w:pPr>
        <w:ind w:left="2551" w:hanging="1304"/>
      </w:pPr>
      <w:rPr>
        <w:u w:val="none"/>
      </w:rPr>
    </w:lvl>
    <w:lvl w:ilvl="1">
      <w:start w:val="1"/>
      <w:numFmt w:val="decimal"/>
      <w:lvlText w:val="%1.%2"/>
      <w:lvlJc w:val="left"/>
      <w:pPr>
        <w:ind w:left="2551" w:hanging="1304"/>
      </w:pPr>
      <w:rPr>
        <w:u w:val="none"/>
      </w:rPr>
    </w:lvl>
    <w:lvl w:ilvl="2">
      <w:start w:val="1"/>
      <w:numFmt w:val="decimal"/>
      <w:lvlText w:val="%1.%2.%3"/>
      <w:lvlJc w:val="left"/>
      <w:pPr>
        <w:ind w:left="5841" w:hanging="1304"/>
      </w:pPr>
      <w:rPr>
        <w:u w:val="none"/>
      </w:rPr>
    </w:lvl>
    <w:lvl w:ilvl="3">
      <w:start w:val="1"/>
      <w:numFmt w:val="decimal"/>
      <w:lvlText w:val="%1.%2.%3.%4"/>
      <w:lvlJc w:val="left"/>
      <w:pPr>
        <w:ind w:left="2551" w:hanging="1304"/>
      </w:pPr>
      <w:rPr>
        <w:u w:val="none"/>
      </w:rPr>
    </w:lvl>
    <w:lvl w:ilvl="4">
      <w:start w:val="1"/>
      <w:numFmt w:val="decimal"/>
      <w:lvlText w:val="%1.%2.%3.%4.%5"/>
      <w:lvlJc w:val="left"/>
      <w:pPr>
        <w:ind w:left="2552" w:hanging="124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C760FE"/>
    <w:multiLevelType w:val="hybridMultilevel"/>
    <w:tmpl w:val="A4CA4826"/>
    <w:lvl w:ilvl="0" w:tplc="258E3A02">
      <w:start w:val="1"/>
      <w:numFmt w:val="decimal"/>
      <w:lvlText w:val="[%1]"/>
      <w:lvlJc w:val="left"/>
      <w:pPr>
        <w:ind w:left="360" w:hanging="360"/>
      </w:pPr>
      <w:rPr>
        <w:rFonts w:hint="default"/>
        <w:sz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239A10FA"/>
    <w:lvl w:ilvl="0" w:tplc="F274D51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57328D3"/>
    <w:multiLevelType w:val="hybridMultilevel"/>
    <w:tmpl w:val="C83E6870"/>
    <w:lvl w:ilvl="0" w:tplc="041D001B">
      <w:start w:val="1"/>
      <w:numFmt w:val="lowerRoman"/>
      <w:lvlText w:val="%1."/>
      <w:lvlJc w:val="right"/>
      <w:pPr>
        <w:ind w:left="2024" w:hanging="360"/>
      </w:pPr>
    </w:lvl>
    <w:lvl w:ilvl="1" w:tplc="041D0019" w:tentative="1">
      <w:start w:val="1"/>
      <w:numFmt w:val="lowerLetter"/>
      <w:lvlText w:val="%2."/>
      <w:lvlJc w:val="left"/>
      <w:pPr>
        <w:ind w:left="2744" w:hanging="360"/>
      </w:pPr>
    </w:lvl>
    <w:lvl w:ilvl="2" w:tplc="041D001B" w:tentative="1">
      <w:start w:val="1"/>
      <w:numFmt w:val="lowerRoman"/>
      <w:lvlText w:val="%3."/>
      <w:lvlJc w:val="right"/>
      <w:pPr>
        <w:ind w:left="3464" w:hanging="180"/>
      </w:pPr>
    </w:lvl>
    <w:lvl w:ilvl="3" w:tplc="041D000F" w:tentative="1">
      <w:start w:val="1"/>
      <w:numFmt w:val="decimal"/>
      <w:lvlText w:val="%4."/>
      <w:lvlJc w:val="left"/>
      <w:pPr>
        <w:ind w:left="4184" w:hanging="360"/>
      </w:pPr>
    </w:lvl>
    <w:lvl w:ilvl="4" w:tplc="041D0019" w:tentative="1">
      <w:start w:val="1"/>
      <w:numFmt w:val="lowerLetter"/>
      <w:lvlText w:val="%5."/>
      <w:lvlJc w:val="left"/>
      <w:pPr>
        <w:ind w:left="4904" w:hanging="360"/>
      </w:pPr>
    </w:lvl>
    <w:lvl w:ilvl="5" w:tplc="041D001B" w:tentative="1">
      <w:start w:val="1"/>
      <w:numFmt w:val="lowerRoman"/>
      <w:lvlText w:val="%6."/>
      <w:lvlJc w:val="right"/>
      <w:pPr>
        <w:ind w:left="5624" w:hanging="180"/>
      </w:pPr>
    </w:lvl>
    <w:lvl w:ilvl="6" w:tplc="041D000F" w:tentative="1">
      <w:start w:val="1"/>
      <w:numFmt w:val="decimal"/>
      <w:lvlText w:val="%7."/>
      <w:lvlJc w:val="left"/>
      <w:pPr>
        <w:ind w:left="6344" w:hanging="360"/>
      </w:pPr>
    </w:lvl>
    <w:lvl w:ilvl="7" w:tplc="041D0019" w:tentative="1">
      <w:start w:val="1"/>
      <w:numFmt w:val="lowerLetter"/>
      <w:lvlText w:val="%8."/>
      <w:lvlJc w:val="left"/>
      <w:pPr>
        <w:ind w:left="7064" w:hanging="360"/>
      </w:pPr>
    </w:lvl>
    <w:lvl w:ilvl="8" w:tplc="041D001B" w:tentative="1">
      <w:start w:val="1"/>
      <w:numFmt w:val="lowerRoman"/>
      <w:lvlText w:val="%9."/>
      <w:lvlJc w:val="right"/>
      <w:pPr>
        <w:ind w:left="7784"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3"/>
  </w:num>
  <w:num w:numId="4">
    <w:abstractNumId w:val="15"/>
  </w:num>
  <w:num w:numId="5">
    <w:abstractNumId w:val="10"/>
  </w:num>
  <w:num w:numId="6">
    <w:abstractNumId w:val="17"/>
  </w:num>
  <w:num w:numId="7">
    <w:abstractNumId w:val="22"/>
  </w:num>
  <w:num w:numId="8">
    <w:abstractNumId w:val="11"/>
  </w:num>
  <w:num w:numId="9">
    <w:abstractNumId w:val="9"/>
  </w:num>
  <w:num w:numId="10">
    <w:abstractNumId w:val="2"/>
  </w:num>
  <w:num w:numId="11">
    <w:abstractNumId w:val="1"/>
  </w:num>
  <w:num w:numId="12">
    <w:abstractNumId w:val="0"/>
  </w:num>
  <w:num w:numId="13">
    <w:abstractNumId w:val="20"/>
  </w:num>
  <w:num w:numId="14">
    <w:abstractNumId w:val="21"/>
  </w:num>
  <w:num w:numId="15">
    <w:abstractNumId w:val="16"/>
  </w:num>
  <w:num w:numId="16">
    <w:abstractNumId w:val="23"/>
  </w:num>
  <w:num w:numId="17">
    <w:abstractNumId w:val="6"/>
  </w:num>
  <w:num w:numId="18">
    <w:abstractNumId w:val="7"/>
  </w:num>
  <w:num w:numId="19">
    <w:abstractNumId w:val="5"/>
  </w:num>
  <w:num w:numId="20">
    <w:abstractNumId w:val="26"/>
  </w:num>
  <w:num w:numId="21">
    <w:abstractNumId w:val="12"/>
  </w:num>
  <w:num w:numId="22">
    <w:abstractNumId w:val="25"/>
  </w:num>
  <w:num w:numId="23">
    <w:abstractNumId w:val="8"/>
  </w:num>
  <w:num w:numId="24">
    <w:abstractNumId w:val="20"/>
  </w:num>
  <w:num w:numId="25">
    <w:abstractNumId w:val="24"/>
  </w:num>
  <w:num w:numId="26">
    <w:abstractNumId w:val="14"/>
  </w:num>
  <w:num w:numId="27">
    <w:abstractNumId w:val="20"/>
    <w:lvlOverride w:ilvl="0">
      <w:startOverride w:val="1"/>
    </w:lvlOverride>
  </w:num>
  <w:num w:numId="28">
    <w:abstractNumId w:val="18"/>
  </w:num>
  <w:num w:numId="29">
    <w:abstractNumId w:val="13"/>
    <w:lvlOverride w:ilvl="0">
      <w:startOverride w:val="1"/>
    </w:lvlOverride>
  </w:num>
  <w:num w:numId="30">
    <w:abstractNumId w:val="20"/>
    <w:lvlOverride w:ilvl="0">
      <w:startOverride w:val="1"/>
    </w:lvlOverride>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C34"/>
    <w:rsid w:val="000006E1"/>
    <w:rsid w:val="00002A37"/>
    <w:rsid w:val="0000564C"/>
    <w:rsid w:val="00006446"/>
    <w:rsid w:val="00006896"/>
    <w:rsid w:val="00007CDC"/>
    <w:rsid w:val="00011B28"/>
    <w:rsid w:val="00014E24"/>
    <w:rsid w:val="00015D15"/>
    <w:rsid w:val="00020752"/>
    <w:rsid w:val="0002564D"/>
    <w:rsid w:val="00025ECA"/>
    <w:rsid w:val="000325B8"/>
    <w:rsid w:val="00034C15"/>
    <w:rsid w:val="00036BA1"/>
    <w:rsid w:val="000422E2"/>
    <w:rsid w:val="00042F22"/>
    <w:rsid w:val="00044411"/>
    <w:rsid w:val="000444EF"/>
    <w:rsid w:val="0004708D"/>
    <w:rsid w:val="00052A07"/>
    <w:rsid w:val="000534E3"/>
    <w:rsid w:val="0005606A"/>
    <w:rsid w:val="00057117"/>
    <w:rsid w:val="00057A78"/>
    <w:rsid w:val="000616E7"/>
    <w:rsid w:val="0006487E"/>
    <w:rsid w:val="00065E1A"/>
    <w:rsid w:val="00065FE7"/>
    <w:rsid w:val="000666E0"/>
    <w:rsid w:val="00077E5F"/>
    <w:rsid w:val="0008036A"/>
    <w:rsid w:val="00080537"/>
    <w:rsid w:val="00081AE6"/>
    <w:rsid w:val="000855EB"/>
    <w:rsid w:val="00085B52"/>
    <w:rsid w:val="000866F2"/>
    <w:rsid w:val="0009009F"/>
    <w:rsid w:val="00091557"/>
    <w:rsid w:val="000924C1"/>
    <w:rsid w:val="000924F0"/>
    <w:rsid w:val="00093474"/>
    <w:rsid w:val="0009510F"/>
    <w:rsid w:val="000A1B7B"/>
    <w:rsid w:val="000A56F2"/>
    <w:rsid w:val="000A7200"/>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4C4E"/>
    <w:rsid w:val="000F6DF3"/>
    <w:rsid w:val="001005FF"/>
    <w:rsid w:val="001044A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76941"/>
    <w:rsid w:val="0018143F"/>
    <w:rsid w:val="00181FF8"/>
    <w:rsid w:val="001904FC"/>
    <w:rsid w:val="00190AC1"/>
    <w:rsid w:val="0019341A"/>
    <w:rsid w:val="00197DF9"/>
    <w:rsid w:val="001A1987"/>
    <w:rsid w:val="001A2564"/>
    <w:rsid w:val="001A6173"/>
    <w:rsid w:val="001A6CBA"/>
    <w:rsid w:val="001B0D97"/>
    <w:rsid w:val="001B5A5D"/>
    <w:rsid w:val="001C1CE5"/>
    <w:rsid w:val="001C3D2A"/>
    <w:rsid w:val="001C53C2"/>
    <w:rsid w:val="001C59C1"/>
    <w:rsid w:val="001D2FCC"/>
    <w:rsid w:val="001D43B7"/>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5B7"/>
    <w:rsid w:val="00230765"/>
    <w:rsid w:val="00230D18"/>
    <w:rsid w:val="002319E4"/>
    <w:rsid w:val="00235632"/>
    <w:rsid w:val="00235872"/>
    <w:rsid w:val="00241559"/>
    <w:rsid w:val="002435B3"/>
    <w:rsid w:val="002458EB"/>
    <w:rsid w:val="002500C8"/>
    <w:rsid w:val="0025613D"/>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ED3"/>
    <w:rsid w:val="0028280A"/>
    <w:rsid w:val="00286ACD"/>
    <w:rsid w:val="00287838"/>
    <w:rsid w:val="002907B5"/>
    <w:rsid w:val="00292EB7"/>
    <w:rsid w:val="00296227"/>
    <w:rsid w:val="00296A51"/>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141E"/>
    <w:rsid w:val="00322C9F"/>
    <w:rsid w:val="00324D23"/>
    <w:rsid w:val="00331751"/>
    <w:rsid w:val="00334579"/>
    <w:rsid w:val="00335858"/>
    <w:rsid w:val="00336BDA"/>
    <w:rsid w:val="00342BD7"/>
    <w:rsid w:val="0034651E"/>
    <w:rsid w:val="00346DB5"/>
    <w:rsid w:val="003477B1"/>
    <w:rsid w:val="00357380"/>
    <w:rsid w:val="003602D9"/>
    <w:rsid w:val="003604CE"/>
    <w:rsid w:val="00370E47"/>
    <w:rsid w:val="003742AC"/>
    <w:rsid w:val="00377CE1"/>
    <w:rsid w:val="00385BF0"/>
    <w:rsid w:val="003939FF"/>
    <w:rsid w:val="00397804"/>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2894"/>
    <w:rsid w:val="003D3C45"/>
    <w:rsid w:val="003D3E33"/>
    <w:rsid w:val="003D5B1F"/>
    <w:rsid w:val="003E15FA"/>
    <w:rsid w:val="003E55E4"/>
    <w:rsid w:val="003E74E3"/>
    <w:rsid w:val="003F05C7"/>
    <w:rsid w:val="003F2CD4"/>
    <w:rsid w:val="003F6BBE"/>
    <w:rsid w:val="004000E8"/>
    <w:rsid w:val="00402E2B"/>
    <w:rsid w:val="0040512B"/>
    <w:rsid w:val="00405CA5"/>
    <w:rsid w:val="00407CD3"/>
    <w:rsid w:val="00407EE9"/>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EC8"/>
    <w:rsid w:val="004517AA"/>
    <w:rsid w:val="00451902"/>
    <w:rsid w:val="00452CAC"/>
    <w:rsid w:val="00457565"/>
    <w:rsid w:val="00457780"/>
    <w:rsid w:val="00457B71"/>
    <w:rsid w:val="004669E2"/>
    <w:rsid w:val="00470C31"/>
    <w:rsid w:val="00471DE0"/>
    <w:rsid w:val="004734D0"/>
    <w:rsid w:val="004744B3"/>
    <w:rsid w:val="004749E5"/>
    <w:rsid w:val="0047556B"/>
    <w:rsid w:val="00477768"/>
    <w:rsid w:val="00492BC5"/>
    <w:rsid w:val="004964F1"/>
    <w:rsid w:val="004A16BC"/>
    <w:rsid w:val="004A2B94"/>
    <w:rsid w:val="004B210A"/>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06B8"/>
    <w:rsid w:val="00506557"/>
    <w:rsid w:val="0050677A"/>
    <w:rsid w:val="005108D8"/>
    <w:rsid w:val="005116F9"/>
    <w:rsid w:val="005153A7"/>
    <w:rsid w:val="005219CF"/>
    <w:rsid w:val="00534B59"/>
    <w:rsid w:val="00536759"/>
    <w:rsid w:val="00536DE5"/>
    <w:rsid w:val="00537C62"/>
    <w:rsid w:val="00546970"/>
    <w:rsid w:val="00554E19"/>
    <w:rsid w:val="0056121F"/>
    <w:rsid w:val="00572505"/>
    <w:rsid w:val="00582809"/>
    <w:rsid w:val="00586960"/>
    <w:rsid w:val="0058798C"/>
    <w:rsid w:val="005900FA"/>
    <w:rsid w:val="00590C61"/>
    <w:rsid w:val="005935A4"/>
    <w:rsid w:val="005948C2"/>
    <w:rsid w:val="00595DCA"/>
    <w:rsid w:val="0059779B"/>
    <w:rsid w:val="005A209A"/>
    <w:rsid w:val="005A662D"/>
    <w:rsid w:val="005B1409"/>
    <w:rsid w:val="005B35D7"/>
    <w:rsid w:val="005B392A"/>
    <w:rsid w:val="005B3AA3"/>
    <w:rsid w:val="005B3C8A"/>
    <w:rsid w:val="005B6F83"/>
    <w:rsid w:val="005C3612"/>
    <w:rsid w:val="005C74FB"/>
    <w:rsid w:val="005D1602"/>
    <w:rsid w:val="005D2184"/>
    <w:rsid w:val="005D704E"/>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0665"/>
    <w:rsid w:val="00695FC2"/>
    <w:rsid w:val="00696949"/>
    <w:rsid w:val="00697052"/>
    <w:rsid w:val="006A46FB"/>
    <w:rsid w:val="006A4E4E"/>
    <w:rsid w:val="006A5E28"/>
    <w:rsid w:val="006A697B"/>
    <w:rsid w:val="006A7AFF"/>
    <w:rsid w:val="006B1816"/>
    <w:rsid w:val="006B2099"/>
    <w:rsid w:val="006B50CF"/>
    <w:rsid w:val="006C03B8"/>
    <w:rsid w:val="006C13BB"/>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0A6"/>
    <w:rsid w:val="006F58D4"/>
    <w:rsid w:val="006F6582"/>
    <w:rsid w:val="0070346E"/>
    <w:rsid w:val="00704EDB"/>
    <w:rsid w:val="00706101"/>
    <w:rsid w:val="00707072"/>
    <w:rsid w:val="00707D61"/>
    <w:rsid w:val="00711D81"/>
    <w:rsid w:val="00712287"/>
    <w:rsid w:val="00712772"/>
    <w:rsid w:val="007148D3"/>
    <w:rsid w:val="00714ABC"/>
    <w:rsid w:val="00715B9A"/>
    <w:rsid w:val="007257D0"/>
    <w:rsid w:val="00726EA6"/>
    <w:rsid w:val="00727208"/>
    <w:rsid w:val="00727680"/>
    <w:rsid w:val="00730AEC"/>
    <w:rsid w:val="007348B1"/>
    <w:rsid w:val="007362A6"/>
    <w:rsid w:val="00736D7D"/>
    <w:rsid w:val="00737376"/>
    <w:rsid w:val="00740E58"/>
    <w:rsid w:val="007445A0"/>
    <w:rsid w:val="0074524B"/>
    <w:rsid w:val="00747D8B"/>
    <w:rsid w:val="00751228"/>
    <w:rsid w:val="0075305E"/>
    <w:rsid w:val="007571E1"/>
    <w:rsid w:val="007604B2"/>
    <w:rsid w:val="00765281"/>
    <w:rsid w:val="00766BAD"/>
    <w:rsid w:val="007729A2"/>
    <w:rsid w:val="007755F2"/>
    <w:rsid w:val="00776971"/>
    <w:rsid w:val="00780A80"/>
    <w:rsid w:val="0078177E"/>
    <w:rsid w:val="0078304C"/>
    <w:rsid w:val="00783673"/>
    <w:rsid w:val="00785490"/>
    <w:rsid w:val="007904E3"/>
    <w:rsid w:val="007925EA"/>
    <w:rsid w:val="00793CD8"/>
    <w:rsid w:val="00795C92"/>
    <w:rsid w:val="00796231"/>
    <w:rsid w:val="007A1CB3"/>
    <w:rsid w:val="007A306F"/>
    <w:rsid w:val="007A43A6"/>
    <w:rsid w:val="007A58A6"/>
    <w:rsid w:val="007B3D2D"/>
    <w:rsid w:val="007B50AE"/>
    <w:rsid w:val="007B51DF"/>
    <w:rsid w:val="007C05DD"/>
    <w:rsid w:val="007C34A6"/>
    <w:rsid w:val="007C3D18"/>
    <w:rsid w:val="007C60BF"/>
    <w:rsid w:val="007C6A07"/>
    <w:rsid w:val="007C6C3C"/>
    <w:rsid w:val="007C75A1"/>
    <w:rsid w:val="007C77A5"/>
    <w:rsid w:val="007D04E5"/>
    <w:rsid w:val="007D5901"/>
    <w:rsid w:val="007D7526"/>
    <w:rsid w:val="007E4610"/>
    <w:rsid w:val="007E4715"/>
    <w:rsid w:val="007E505B"/>
    <w:rsid w:val="007E7091"/>
    <w:rsid w:val="007F30EB"/>
    <w:rsid w:val="00803C7E"/>
    <w:rsid w:val="00803FAE"/>
    <w:rsid w:val="0080605F"/>
    <w:rsid w:val="00807786"/>
    <w:rsid w:val="00811FCB"/>
    <w:rsid w:val="008158D6"/>
    <w:rsid w:val="0081694E"/>
    <w:rsid w:val="00817196"/>
    <w:rsid w:val="008235DB"/>
    <w:rsid w:val="00824AB4"/>
    <w:rsid w:val="00825C42"/>
    <w:rsid w:val="00825D25"/>
    <w:rsid w:val="00827D6F"/>
    <w:rsid w:val="00830A60"/>
    <w:rsid w:val="008376AC"/>
    <w:rsid w:val="008444E8"/>
    <w:rsid w:val="00844E80"/>
    <w:rsid w:val="00846FE7"/>
    <w:rsid w:val="00856911"/>
    <w:rsid w:val="008609CB"/>
    <w:rsid w:val="00861C9E"/>
    <w:rsid w:val="008677FD"/>
    <w:rsid w:val="008706D4"/>
    <w:rsid w:val="00870F8A"/>
    <w:rsid w:val="008719A4"/>
    <w:rsid w:val="00871D23"/>
    <w:rsid w:val="00874312"/>
    <w:rsid w:val="0087437C"/>
    <w:rsid w:val="00875CD7"/>
    <w:rsid w:val="008767AB"/>
    <w:rsid w:val="00876B4D"/>
    <w:rsid w:val="00877F18"/>
    <w:rsid w:val="00881D7B"/>
    <w:rsid w:val="0088518E"/>
    <w:rsid w:val="0088743F"/>
    <w:rsid w:val="00891355"/>
    <w:rsid w:val="008941E3"/>
    <w:rsid w:val="00894A88"/>
    <w:rsid w:val="00895386"/>
    <w:rsid w:val="00897C3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0642"/>
    <w:rsid w:val="008D34F1"/>
    <w:rsid w:val="008D39D8"/>
    <w:rsid w:val="008D6D1A"/>
    <w:rsid w:val="008E065E"/>
    <w:rsid w:val="008E0927"/>
    <w:rsid w:val="008E178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0186"/>
    <w:rsid w:val="00971F08"/>
    <w:rsid w:val="0097231C"/>
    <w:rsid w:val="009751E9"/>
    <w:rsid w:val="0097603D"/>
    <w:rsid w:val="00976949"/>
    <w:rsid w:val="00977245"/>
    <w:rsid w:val="00980477"/>
    <w:rsid w:val="009838EF"/>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2704"/>
    <w:rsid w:val="009C403E"/>
    <w:rsid w:val="009D4FF0"/>
    <w:rsid w:val="009D703C"/>
    <w:rsid w:val="009D718F"/>
    <w:rsid w:val="009E068F"/>
    <w:rsid w:val="009E14E0"/>
    <w:rsid w:val="009E35DB"/>
    <w:rsid w:val="009E47A3"/>
    <w:rsid w:val="009E7B52"/>
    <w:rsid w:val="009F08F3"/>
    <w:rsid w:val="009F2E7A"/>
    <w:rsid w:val="009F344F"/>
    <w:rsid w:val="00A031D8"/>
    <w:rsid w:val="00A048A8"/>
    <w:rsid w:val="00A04F49"/>
    <w:rsid w:val="00A13E54"/>
    <w:rsid w:val="00A17F63"/>
    <w:rsid w:val="00A2193B"/>
    <w:rsid w:val="00A2351A"/>
    <w:rsid w:val="00A264A9"/>
    <w:rsid w:val="00A26DCF"/>
    <w:rsid w:val="00A27785"/>
    <w:rsid w:val="00A30187"/>
    <w:rsid w:val="00A342BF"/>
    <w:rsid w:val="00A3448A"/>
    <w:rsid w:val="00A36297"/>
    <w:rsid w:val="00A41E2B"/>
    <w:rsid w:val="00A45B74"/>
    <w:rsid w:val="00A52E1D"/>
    <w:rsid w:val="00A60EE6"/>
    <w:rsid w:val="00A61499"/>
    <w:rsid w:val="00A62A77"/>
    <w:rsid w:val="00A63483"/>
    <w:rsid w:val="00A657D7"/>
    <w:rsid w:val="00A660AC"/>
    <w:rsid w:val="00A67E6C"/>
    <w:rsid w:val="00A70300"/>
    <w:rsid w:val="00A71B99"/>
    <w:rsid w:val="00A739D0"/>
    <w:rsid w:val="00A761D4"/>
    <w:rsid w:val="00A77EC4"/>
    <w:rsid w:val="00A81104"/>
    <w:rsid w:val="00A8740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AF79BB"/>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874FF"/>
    <w:rsid w:val="00B90F73"/>
    <w:rsid w:val="00B93B59"/>
    <w:rsid w:val="00B9406A"/>
    <w:rsid w:val="00B974CE"/>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826"/>
    <w:rsid w:val="00BF74C7"/>
    <w:rsid w:val="00C015F1"/>
    <w:rsid w:val="00C01F33"/>
    <w:rsid w:val="00C02CC6"/>
    <w:rsid w:val="00C040F7"/>
    <w:rsid w:val="00C044AB"/>
    <w:rsid w:val="00C05706"/>
    <w:rsid w:val="00C0691B"/>
    <w:rsid w:val="00C07377"/>
    <w:rsid w:val="00C10478"/>
    <w:rsid w:val="00C12107"/>
    <w:rsid w:val="00C14D4B"/>
    <w:rsid w:val="00C154BB"/>
    <w:rsid w:val="00C15FE6"/>
    <w:rsid w:val="00C279B5"/>
    <w:rsid w:val="00C27C45"/>
    <w:rsid w:val="00C3719D"/>
    <w:rsid w:val="00C37CB2"/>
    <w:rsid w:val="00C46109"/>
    <w:rsid w:val="00C473A5"/>
    <w:rsid w:val="00C54995"/>
    <w:rsid w:val="00C54D41"/>
    <w:rsid w:val="00C60783"/>
    <w:rsid w:val="00C64672"/>
    <w:rsid w:val="00C65B9F"/>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2F2C"/>
    <w:rsid w:val="00CB7170"/>
    <w:rsid w:val="00CC040E"/>
    <w:rsid w:val="00CC111F"/>
    <w:rsid w:val="00CC2011"/>
    <w:rsid w:val="00CC3EA0"/>
    <w:rsid w:val="00CC7B45"/>
    <w:rsid w:val="00CD1188"/>
    <w:rsid w:val="00CD1D8A"/>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4B2D"/>
    <w:rsid w:val="00DC2D36"/>
    <w:rsid w:val="00DC53EF"/>
    <w:rsid w:val="00DE5608"/>
    <w:rsid w:val="00DE58D0"/>
    <w:rsid w:val="00DE654F"/>
    <w:rsid w:val="00DF0B6E"/>
    <w:rsid w:val="00DF15E0"/>
    <w:rsid w:val="00DF37A0"/>
    <w:rsid w:val="00E055C2"/>
    <w:rsid w:val="00E07760"/>
    <w:rsid w:val="00E110E7"/>
    <w:rsid w:val="00E11B20"/>
    <w:rsid w:val="00E12581"/>
    <w:rsid w:val="00E17FA2"/>
    <w:rsid w:val="00E22330"/>
    <w:rsid w:val="00E27346"/>
    <w:rsid w:val="00E309BE"/>
    <w:rsid w:val="00E30B5A"/>
    <w:rsid w:val="00E3123D"/>
    <w:rsid w:val="00E31461"/>
    <w:rsid w:val="00E31B8C"/>
    <w:rsid w:val="00E31D43"/>
    <w:rsid w:val="00E32608"/>
    <w:rsid w:val="00E333C1"/>
    <w:rsid w:val="00E34188"/>
    <w:rsid w:val="00E34711"/>
    <w:rsid w:val="00E34B6E"/>
    <w:rsid w:val="00E35559"/>
    <w:rsid w:val="00E3723A"/>
    <w:rsid w:val="00E37860"/>
    <w:rsid w:val="00E446F1"/>
    <w:rsid w:val="00E456BF"/>
    <w:rsid w:val="00E46886"/>
    <w:rsid w:val="00E47AEF"/>
    <w:rsid w:val="00E53B75"/>
    <w:rsid w:val="00E54E3B"/>
    <w:rsid w:val="00E57565"/>
    <w:rsid w:val="00E63838"/>
    <w:rsid w:val="00E64434"/>
    <w:rsid w:val="00E67C51"/>
    <w:rsid w:val="00E72EFC"/>
    <w:rsid w:val="00E73057"/>
    <w:rsid w:val="00E758EC"/>
    <w:rsid w:val="00E805BB"/>
    <w:rsid w:val="00E8234C"/>
    <w:rsid w:val="00E83AA9"/>
    <w:rsid w:val="00E85928"/>
    <w:rsid w:val="00E87822"/>
    <w:rsid w:val="00E90395"/>
    <w:rsid w:val="00E90E49"/>
    <w:rsid w:val="00E917F9"/>
    <w:rsid w:val="00E9291C"/>
    <w:rsid w:val="00E93FFE"/>
    <w:rsid w:val="00E94F8A"/>
    <w:rsid w:val="00EA1886"/>
    <w:rsid w:val="00EA7A41"/>
    <w:rsid w:val="00EB077B"/>
    <w:rsid w:val="00EB4EA2"/>
    <w:rsid w:val="00EC24D5"/>
    <w:rsid w:val="00EC27C6"/>
    <w:rsid w:val="00EC4207"/>
    <w:rsid w:val="00EC5653"/>
    <w:rsid w:val="00EC71CE"/>
    <w:rsid w:val="00ED1006"/>
    <w:rsid w:val="00ED49D7"/>
    <w:rsid w:val="00EF03BA"/>
    <w:rsid w:val="00EF18FE"/>
    <w:rsid w:val="00EF5787"/>
    <w:rsid w:val="00EF60D0"/>
    <w:rsid w:val="00F006CD"/>
    <w:rsid w:val="00F02DB3"/>
    <w:rsid w:val="00F0528D"/>
    <w:rsid w:val="00F06C67"/>
    <w:rsid w:val="00F06DFD"/>
    <w:rsid w:val="00F071D1"/>
    <w:rsid w:val="00F07533"/>
    <w:rsid w:val="00F10629"/>
    <w:rsid w:val="00F15FA5"/>
    <w:rsid w:val="00F209B7"/>
    <w:rsid w:val="00F2376F"/>
    <w:rsid w:val="00F243D8"/>
    <w:rsid w:val="00F30828"/>
    <w:rsid w:val="00F313D6"/>
    <w:rsid w:val="00F358EB"/>
    <w:rsid w:val="00F40F0C"/>
    <w:rsid w:val="00F4766C"/>
    <w:rsid w:val="00F5060E"/>
    <w:rsid w:val="00F507D1"/>
    <w:rsid w:val="00F519CE"/>
    <w:rsid w:val="00F51ADA"/>
    <w:rsid w:val="00F52516"/>
    <w:rsid w:val="00F5449F"/>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BE8"/>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31F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38640"/>
  <w15:chartTrackingRefBased/>
  <w15:docId w15:val="{FFAEE534-E691-4506-B96B-51BE7203F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numbering" w:customStyle="1" w:styleId="WWOutlineListStyle11">
    <w:name w:val="WW_OutlineListStyle_11"/>
    <w:basedOn w:val="NoList"/>
    <w:rsid w:val="00970186"/>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ibeh\AppData\Local\Microsoft\Windows\Temporary%20Internet%20Files\Content.IE5\V1L58IF2\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5NUHHDQN7SK2-1476151046-22756</_dlc_DocId>
    <Issue_x0020_in_x0020_OI_x0020_list_x0020__x0028_Y_x002f_N_x0029_ xmlns="611109f9-ed58-4498-a270-1fb2086a5321" xsi:nil="true"/>
    <TaxCatchAll xmlns="d8762117-8292-4133-b1c7-eab5c6487cfd">
      <Value>214</Value>
      <Value>212</Value>
      <Value>497</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https://ericsson.sharepoint.com/sites/star/_layouts/15/DocIdRedir.aspx?ID=5NUHHDQN7SK2-1476151046-22756</Url>
      <Description>5NUHHDQN7SK2-1476151046-22756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FE14B-B315-41BB-8F9F-0C342D2E36A1}">
  <ds:schemaRefs>
    <ds:schemaRef ds:uri="http://schemas.microsoft.com/sharepoint/v3/contenttype/forms"/>
  </ds:schemaRefs>
</ds:datastoreItem>
</file>

<file path=customXml/itemProps2.xml><?xml version="1.0" encoding="utf-8"?>
<ds:datastoreItem xmlns:ds="http://schemas.openxmlformats.org/officeDocument/2006/customXml" ds:itemID="{9984048C-0F89-4813-B7B7-6A52AC64775F}">
  <ds:schemaRefs>
    <ds:schemaRef ds:uri="http://schemas.microsoft.com/sharepoint/events"/>
  </ds:schemaRefs>
</ds:datastoreItem>
</file>

<file path=customXml/itemProps3.xml><?xml version="1.0" encoding="utf-8"?>
<ds:datastoreItem xmlns:ds="http://schemas.openxmlformats.org/officeDocument/2006/customXml" ds:itemID="{74D65DF0-B87F-449B-BCDD-BCE18ABA5220}">
  <ds:schemaRefs>
    <ds:schemaRef ds:uri="Microsoft.SharePoint.Taxonomy.ContentTypeSync"/>
  </ds:schemaRefs>
</ds:datastoreItem>
</file>

<file path=customXml/itemProps4.xml><?xml version="1.0" encoding="utf-8"?>
<ds:datastoreItem xmlns:ds="http://schemas.openxmlformats.org/officeDocument/2006/customXml" ds:itemID="{5A3393EA-109D-430A-90D3-5CBC2148902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FFF2C072-3883-4784-AE34-4B7E926624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43FB0AD-0F0F-4CFB-954B-C5E79C04C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195</TotalTime>
  <Pages>4</Pages>
  <Words>1312</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Ali Behravan</dc:creator>
  <cp:keywords>3GPP; Ericsson; TDoc</cp:keywords>
  <dc:description/>
  <cp:lastModifiedBy>Ali Behravan</cp:lastModifiedBy>
  <cp:revision>91</cp:revision>
  <cp:lastPrinted>2008-01-31T07:09:00Z</cp:lastPrinted>
  <dcterms:created xsi:type="dcterms:W3CDTF">2018-04-30T07:47:00Z</dcterms:created>
  <dcterms:modified xsi:type="dcterms:W3CDTF">2018-05-11T20:02:00Z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EriCOLLCategory">
    <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67501c38-bcac-4c28-b17a-88f0721dab13</vt:lpwstr>
  </property>
  <property fmtid="{D5CDD505-2E9C-101B-9397-08002B2CF9AE}" pid="13" name="EriCOLLProjects">
    <vt:lpwstr/>
  </property>
</Properties>
</file>